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80"/>
        <w:rPr>
          <w:rFonts w:hint="eastAsia" w:ascii="宋体" w:hAnsi="宋体"/>
          <w:b/>
          <w:sz w:val="24"/>
        </w:rPr>
      </w:pPr>
      <w:r>
        <w:rPr>
          <w:rFonts w:hint="eastAsia" w:ascii="宋体" w:hAnsi="宋体"/>
          <w:b/>
          <w:sz w:val="24"/>
        </w:rPr>
        <w:t>附件4：《优秀公共管理案例</w:t>
      </w:r>
      <w:bookmarkStart w:id="0" w:name="_GoBack"/>
      <w:bookmarkEnd w:id="0"/>
      <w:r>
        <w:rPr>
          <w:rFonts w:hint="eastAsia" w:ascii="宋体" w:hAnsi="宋体"/>
          <w:b/>
          <w:sz w:val="24"/>
        </w:rPr>
        <w:t>范本》</w:t>
      </w:r>
    </w:p>
    <w:p>
      <w:pPr>
        <w:pStyle w:val="6"/>
        <w:wordWrap w:val="0"/>
        <w:autoSpaceDN w:val="0"/>
        <w:spacing w:line="375" w:lineRule="atLeast"/>
        <w:ind w:left="567" w:firstLine="0" w:firstLineChars="0"/>
        <w:jc w:val="center"/>
        <w:rPr>
          <w:rFonts w:hint="eastAsia" w:ascii="幼圆" w:hAnsi="幼圆" w:eastAsia="幼圆" w:cs="幼圆"/>
          <w:b/>
          <w:color w:val="000000"/>
          <w:sz w:val="32"/>
          <w:szCs w:val="32"/>
        </w:rPr>
      </w:pPr>
      <w:r>
        <w:rPr>
          <w:rFonts w:hint="eastAsia" w:ascii="幼圆" w:hAnsi="幼圆" w:eastAsia="幼圆" w:cs="幼圆"/>
          <w:b/>
          <w:color w:val="000000"/>
          <w:sz w:val="32"/>
          <w:szCs w:val="32"/>
        </w:rPr>
        <w:t>范本1</w:t>
      </w:r>
    </w:p>
    <w:p>
      <w:pPr>
        <w:pStyle w:val="6"/>
        <w:wordWrap w:val="0"/>
        <w:autoSpaceDN w:val="0"/>
        <w:spacing w:line="375" w:lineRule="atLeast"/>
        <w:ind w:left="567" w:firstLine="0" w:firstLineChars="0"/>
        <w:jc w:val="center"/>
        <w:rPr>
          <w:rFonts w:ascii="幼圆" w:hAnsi="幼圆" w:eastAsia="幼圆" w:cs="幼圆"/>
          <w:b/>
          <w:color w:val="000000"/>
          <w:sz w:val="32"/>
          <w:szCs w:val="32"/>
        </w:rPr>
      </w:pPr>
      <w:r>
        <w:rPr>
          <w:rFonts w:hint="eastAsia" w:ascii="幼圆" w:hAnsi="幼圆" w:eastAsia="幼圆" w:cs="幼圆"/>
          <w:b/>
          <w:color w:val="000000"/>
          <w:sz w:val="32"/>
          <w:szCs w:val="32"/>
        </w:rPr>
        <w:t>赛维LDK与新余政府之恋</w:t>
      </w:r>
    </w:p>
    <w:p>
      <w:pPr>
        <w:pStyle w:val="6"/>
        <w:autoSpaceDN w:val="0"/>
        <w:spacing w:line="360" w:lineRule="auto"/>
        <w:ind w:firstLine="482"/>
        <w:jc w:val="center"/>
        <w:rPr>
          <w:rFonts w:hint="eastAsia"/>
          <w:b/>
          <w:sz w:val="24"/>
          <w:szCs w:val="24"/>
        </w:rPr>
      </w:pPr>
      <w:r>
        <w:rPr>
          <w:rFonts w:hint="eastAsia"/>
          <w:b/>
          <w:sz w:val="24"/>
          <w:szCs w:val="24"/>
        </w:rPr>
        <w:t>江西农业大学</w:t>
      </w:r>
    </w:p>
    <w:p>
      <w:pPr>
        <w:pStyle w:val="6"/>
        <w:autoSpaceDN w:val="0"/>
        <w:spacing w:line="360" w:lineRule="auto"/>
        <w:ind w:firstLine="482"/>
        <w:jc w:val="center"/>
        <w:rPr>
          <w:rFonts w:ascii="Arial" w:hAnsi="宋体"/>
          <w:b/>
          <w:color w:val="000000"/>
          <w:sz w:val="24"/>
          <w:szCs w:val="24"/>
        </w:rPr>
      </w:pPr>
      <w:r>
        <w:rPr>
          <w:rFonts w:hint="eastAsia"/>
          <w:b/>
          <w:sz w:val="24"/>
          <w:szCs w:val="24"/>
        </w:rPr>
        <w:t>江永清、朱欢</w:t>
      </w:r>
    </w:p>
    <w:p>
      <w:pPr>
        <w:pStyle w:val="6"/>
        <w:wordWrap w:val="0"/>
        <w:autoSpaceDN w:val="0"/>
        <w:spacing w:line="375" w:lineRule="atLeast"/>
        <w:ind w:firstLine="482"/>
        <w:jc w:val="left"/>
        <w:rPr>
          <w:rFonts w:ascii="Arial" w:hAnsi="宋体"/>
          <w:bCs/>
          <w:color w:val="000000"/>
          <w:sz w:val="24"/>
          <w:szCs w:val="24"/>
        </w:rPr>
      </w:pPr>
      <w:r>
        <w:rPr>
          <w:rFonts w:hint="eastAsia" w:ascii="Arial" w:hAnsi="宋体"/>
          <w:b/>
          <w:color w:val="000000"/>
          <w:sz w:val="24"/>
          <w:szCs w:val="24"/>
        </w:rPr>
        <w:t>内容摘要：</w:t>
      </w:r>
      <w:r>
        <w:rPr>
          <w:rFonts w:hint="eastAsia" w:ascii="Arial" w:hAnsi="宋体"/>
          <w:bCs/>
          <w:color w:val="000000"/>
          <w:sz w:val="24"/>
          <w:szCs w:val="24"/>
        </w:rPr>
        <w:t>本案例描述了赛维LDK</w:t>
      </w:r>
      <w:r>
        <w:rPr>
          <w:rFonts w:hint="eastAsia" w:ascii="Arial" w:hAnsi="宋体"/>
          <w:color w:val="000000"/>
          <w:sz w:val="24"/>
          <w:szCs w:val="28"/>
        </w:rPr>
        <w:t>太阳能科技股份有限公司</w:t>
      </w:r>
      <w:r>
        <w:rPr>
          <w:rFonts w:hint="eastAsia" w:ascii="Arial" w:hAnsi="宋体"/>
          <w:bCs/>
          <w:color w:val="000000"/>
          <w:sz w:val="24"/>
          <w:szCs w:val="24"/>
        </w:rPr>
        <w:t>与江西新余政府之间从第一次亲密接触，发展到相互依存，最后到利益捆绑的过程。江西赛维LDK与新余市政府的合作关系在新的时代背景下映射了政府与市场的边界之争这个历久弥新的命题。透过案例事实，我们可以观察到地方政府对于市场的干预往往因主动政策引导而起，以被动利益捆绑而终，而企业的最终生死是取决于政府干预的力度，还是取决于市场竞争的激烈程度，却还需要继续的观察和等待。</w:t>
      </w:r>
    </w:p>
    <w:p>
      <w:pPr>
        <w:pStyle w:val="6"/>
        <w:wordWrap w:val="0"/>
        <w:autoSpaceDN w:val="0"/>
        <w:spacing w:line="375" w:lineRule="atLeast"/>
        <w:ind w:firstLine="482"/>
        <w:jc w:val="left"/>
        <w:rPr>
          <w:rFonts w:hint="eastAsia" w:ascii="Arial" w:hAnsi="宋体"/>
          <w:bCs/>
          <w:color w:val="000000"/>
          <w:sz w:val="24"/>
          <w:szCs w:val="24"/>
        </w:rPr>
      </w:pPr>
      <w:r>
        <w:rPr>
          <w:rFonts w:hint="eastAsia" w:ascii="Arial" w:hAnsi="宋体"/>
          <w:b/>
          <w:color w:val="000000"/>
          <w:sz w:val="24"/>
          <w:szCs w:val="24"/>
        </w:rPr>
        <w:t>关键词</w:t>
      </w:r>
      <w:r>
        <w:rPr>
          <w:rFonts w:hint="eastAsia" w:ascii="Arial" w:hAnsi="宋体"/>
          <w:bCs/>
          <w:color w:val="000000"/>
          <w:sz w:val="24"/>
          <w:szCs w:val="24"/>
        </w:rPr>
        <w:t>：政府与市场  政府博弈  政策干预 利益捆绑</w:t>
      </w:r>
    </w:p>
    <w:p>
      <w:pPr>
        <w:pStyle w:val="6"/>
        <w:wordWrap w:val="0"/>
        <w:autoSpaceDN w:val="0"/>
        <w:spacing w:before="312" w:beforeLines="100" w:line="375" w:lineRule="atLeast"/>
        <w:ind w:left="567" w:firstLine="0" w:firstLineChars="0"/>
        <w:jc w:val="left"/>
        <w:rPr>
          <w:b/>
          <w:color w:val="000000"/>
          <w:sz w:val="28"/>
          <w:szCs w:val="28"/>
        </w:rPr>
      </w:pPr>
      <w:r>
        <w:rPr>
          <w:rFonts w:hint="eastAsia" w:ascii="宋体" w:hAnsi="宋体" w:cs="宋体"/>
          <w:b/>
          <w:color w:val="000000"/>
          <w:sz w:val="28"/>
          <w:szCs w:val="28"/>
        </w:rPr>
        <w:t>1.“不离不弃”引非议</w:t>
      </w:r>
    </w:p>
    <w:p>
      <w:pPr>
        <w:wordWrap w:val="0"/>
        <w:autoSpaceDN w:val="0"/>
        <w:spacing w:line="375" w:lineRule="atLeast"/>
        <w:ind w:firstLine="494" w:firstLineChars="200"/>
        <w:jc w:val="left"/>
        <w:rPr>
          <w:rFonts w:hint="eastAsia" w:ascii="宋体" w:hAnsi="宋体"/>
          <w:b/>
          <w:bCs/>
          <w:color w:val="000000"/>
          <w:spacing w:val="3"/>
          <w:sz w:val="24"/>
        </w:rPr>
      </w:pPr>
      <w:r>
        <w:rPr>
          <w:rFonts w:hint="eastAsia" w:ascii="宋体" w:hAnsi="宋体"/>
          <w:b/>
          <w:bCs/>
          <w:color w:val="000000"/>
          <w:spacing w:val="3"/>
          <w:sz w:val="24"/>
        </w:rPr>
        <w:t>1.1 财政资金“垫付”企业债务</w:t>
      </w:r>
    </w:p>
    <w:p>
      <w:pPr>
        <w:wordWrap w:val="0"/>
        <w:autoSpaceDN w:val="0"/>
        <w:spacing w:line="375" w:lineRule="atLeast"/>
        <w:ind w:firstLine="492" w:firstLineChars="200"/>
        <w:jc w:val="left"/>
        <w:rPr>
          <w:rFonts w:ascii="宋体" w:hAnsi="宋体"/>
          <w:color w:val="000000"/>
          <w:spacing w:val="3"/>
          <w:sz w:val="24"/>
        </w:rPr>
      </w:pPr>
      <w:r>
        <w:rPr>
          <w:rFonts w:hint="eastAsia" w:ascii="宋体" w:hAnsi="宋体"/>
          <w:color w:val="000000"/>
          <w:spacing w:val="3"/>
          <w:sz w:val="24"/>
        </w:rPr>
        <w:t>2012年7月12日，江西省新余市人大常委会第七次会议发布公告：“会议审议并通过了市人民政府关于将江西赛维LDK公司（以下简称“赛维LDK</w:t>
      </w:r>
      <w:r>
        <w:rPr>
          <w:rFonts w:ascii="宋体" w:hAnsi="宋体"/>
          <w:color w:val="000000"/>
          <w:spacing w:val="3"/>
          <w:sz w:val="24"/>
        </w:rPr>
        <w:t>”</w:t>
      </w:r>
      <w:r>
        <w:rPr>
          <w:rFonts w:hint="eastAsia" w:ascii="宋体" w:hAnsi="宋体"/>
          <w:color w:val="000000"/>
          <w:spacing w:val="3"/>
          <w:sz w:val="24"/>
        </w:rPr>
        <w:t>）向华融国际信托有限责任公司偿还信托</w:t>
      </w:r>
      <w:r>
        <w:rPr>
          <w:rFonts w:hint="eastAsia" w:ascii="宋体" w:hAnsi="宋体"/>
          <w:color w:val="000000"/>
          <w:sz w:val="24"/>
        </w:rPr>
        <w:t>贷款的缺口资金纳入同期年度财政预算的议案”。</w:t>
      </w:r>
      <w:r>
        <w:rPr>
          <w:rFonts w:hint="eastAsia" w:ascii="宋体" w:hAnsi="宋体" w:cs="宋体"/>
          <w:color w:val="000000"/>
          <w:kern w:val="0"/>
          <w:sz w:val="24"/>
        </w:rPr>
        <w:t>根据新余市人大官方解释，在商定这一信托计划时，尽管赛维公司已经以资产作为抵押，但为了使政府督促企业如期归还贷款，相关信托机构特别要求地方政府将贷款还款计划列入年度财政预算。也就是在贷款之初，新余市政府作为担保人是信托贷款发放给江西赛维的前提条件</w:t>
      </w:r>
      <w:r>
        <w:rPr>
          <w:rFonts w:hint="eastAsia" w:ascii="宋体" w:hAnsi="宋体"/>
          <w:color w:val="000000"/>
          <w:spacing w:val="3"/>
          <w:sz w:val="24"/>
        </w:rPr>
        <w:t>。</w:t>
      </w:r>
    </w:p>
    <w:p>
      <w:pPr>
        <w:wordWrap w:val="0"/>
        <w:autoSpaceDN w:val="0"/>
        <w:spacing w:line="375" w:lineRule="atLeast"/>
        <w:ind w:firstLine="492" w:firstLineChars="200"/>
        <w:jc w:val="left"/>
        <w:rPr>
          <w:rFonts w:ascii="宋体" w:hAnsi="宋体" w:cs="宋体"/>
          <w:color w:val="000000"/>
          <w:kern w:val="0"/>
          <w:sz w:val="24"/>
        </w:rPr>
      </w:pPr>
      <w:r>
        <w:rPr>
          <w:rFonts w:hint="eastAsia" w:ascii="宋体" w:hAnsi="宋体"/>
          <w:color w:val="000000"/>
          <w:spacing w:val="3"/>
          <w:sz w:val="24"/>
        </w:rPr>
        <w:t>而这不是新余市政府第一次为赛维贷款做担保。在这一信托计划之前，赛维与华融之间还有过一笔三年期5亿元的信托贷款，2011年6月底到期。当时这份信托计划的实际担保</w:t>
      </w:r>
      <w:r>
        <w:rPr>
          <w:rFonts w:hint="eastAsia" w:ascii="宋体" w:hAnsi="宋体" w:cs="宋体"/>
          <w:color w:val="000000"/>
          <w:kern w:val="0"/>
          <w:sz w:val="24"/>
        </w:rPr>
        <w:t>人除赛维董事长彭小峰个人外，同样还有新余市政府。</w:t>
      </w:r>
    </w:p>
    <w:p>
      <w:pPr>
        <w:wordWrap w:val="0"/>
        <w:autoSpaceDN w:val="0"/>
        <w:spacing w:line="375" w:lineRule="atLeast"/>
        <w:ind w:firstLine="480" w:firstLineChars="200"/>
        <w:jc w:val="left"/>
        <w:rPr>
          <w:rFonts w:ascii="宋体" w:hAnsi="宋体"/>
          <w:color w:val="000000"/>
          <w:sz w:val="24"/>
        </w:rPr>
      </w:pPr>
      <w:r>
        <w:rPr>
          <w:rFonts w:hint="eastAsia" w:ascii="宋体" w:hAnsi="宋体"/>
          <w:color w:val="000000"/>
          <w:sz w:val="24"/>
        </w:rPr>
        <w:t>赛维2011年的公司年报显示，截至当年末，赛维从华融信托获得的借款余额为7.55亿元。新余人大的这项决议意味着，地方政府可以在必要时刻启用财政资金，为赛维欠下的这笔信托贷款兜底。</w:t>
      </w:r>
    </w:p>
    <w:p>
      <w:pPr>
        <w:wordWrap w:val="0"/>
        <w:autoSpaceDN w:val="0"/>
        <w:spacing w:line="375" w:lineRule="atLeast"/>
        <w:ind w:firstLine="482" w:firstLineChars="200"/>
        <w:jc w:val="left"/>
        <w:rPr>
          <w:rFonts w:hint="eastAsia" w:ascii="宋体" w:hAnsi="宋体" w:cs="宋体"/>
          <w:b/>
          <w:color w:val="000000"/>
          <w:sz w:val="24"/>
        </w:rPr>
      </w:pPr>
      <w:r>
        <w:rPr>
          <w:rFonts w:hint="eastAsia" w:ascii="宋体" w:hAnsi="宋体" w:cs="宋体"/>
          <w:b/>
          <w:color w:val="000000"/>
          <w:sz w:val="24"/>
        </w:rPr>
        <w:t>1.2 一石激起千层浪</w:t>
      </w:r>
    </w:p>
    <w:p>
      <w:pPr>
        <w:wordWrap w:val="0"/>
        <w:autoSpaceDN w:val="0"/>
        <w:spacing w:line="375"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质疑的声音立即涌来：</w:t>
      </w:r>
    </w:p>
    <w:p>
      <w:pPr>
        <w:wordWrap w:val="0"/>
        <w:autoSpaceDN w:val="0"/>
        <w:spacing w:line="375"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地方政府为什么要自掏腰包救民营企业——赛维LDK？</w:t>
      </w:r>
    </w:p>
    <w:p>
      <w:pPr>
        <w:wordWrap w:val="0"/>
        <w:autoSpaceDN w:val="0"/>
        <w:spacing w:line="375"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既然要救,为什么别的民营企业不救，这公平吗?</w:t>
      </w:r>
    </w:p>
    <w:p>
      <w:pPr>
        <w:wordWrap w:val="0"/>
        <w:autoSpaceDN w:val="0"/>
        <w:spacing w:line="375"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财政资金不是用于公共支出和民生保障吗？</w:t>
      </w:r>
    </w:p>
    <w:p>
      <w:pPr>
        <w:wordWrap w:val="0"/>
        <w:autoSpaceDN w:val="0"/>
        <w:spacing w:line="375"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难道政府没有自己的边界吗？</w:t>
      </w:r>
    </w:p>
    <w:p>
      <w:pPr>
        <w:wordWrap w:val="0"/>
        <w:autoSpaceDN w:val="0"/>
        <w:spacing w:line="375"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政府救市难道能战胜市场吗？</w:t>
      </w:r>
    </w:p>
    <w:p>
      <w:pPr>
        <w:wordWrap w:val="0"/>
        <w:autoSpaceDN w:val="0"/>
        <w:spacing w:line="375"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而支持者认为，要想在一个欠发达地区发展经济，政府的政策和资金支持是必不可少的。</w:t>
      </w:r>
    </w:p>
    <w:p>
      <w:pPr>
        <w:wordWrap w:val="0"/>
        <w:autoSpaceDN w:val="0"/>
        <w:spacing w:line="375"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政府既然可以为国有企业还债，为何不能对民营企业施救？</w:t>
      </w:r>
    </w:p>
    <w:p>
      <w:pPr>
        <w:wordWrap w:val="0"/>
        <w:autoSpaceDN w:val="0"/>
        <w:spacing w:line="375"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没有地方政府的支持，在市场竞争中处于弱势地位的中西部地区企业何以生存？</w:t>
      </w:r>
    </w:p>
    <w:p>
      <w:pPr>
        <w:wordWrap w:val="0"/>
        <w:autoSpaceDN w:val="0"/>
        <w:spacing w:line="375"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当企业已经大到成为社会稳定的重大源头时，地方政府不积极施救，难道要被动等到矛盾总爆发？</w:t>
      </w:r>
    </w:p>
    <w:p>
      <w:pPr>
        <w:wordWrap w:val="0"/>
        <w:autoSpaceDN w:val="0"/>
        <w:spacing w:line="375"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一连串的问题引起人们的追问、争论、质疑、反思……</w:t>
      </w:r>
    </w:p>
    <w:p>
      <w:pPr>
        <w:wordWrap w:val="0"/>
        <w:autoSpaceDN w:val="0"/>
        <w:spacing w:line="375"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对于新余政府之作为，贬之褒之，毁之誉之，莫衷一是！但是地方政府施救赛维已成事实。或许在当地政府看来，赛维已经到了“大而不能倒”的地步。尽管赛维是一家民营企业，但由于其战略性新兴产业的属性及其迅速做大的规模，赛维被地方视为“至宝”。但直接动用财政预算资金，甚至是政府融资平台等工具的做法，却引起争论。</w:t>
      </w:r>
    </w:p>
    <w:p>
      <w:pPr>
        <w:wordWrap w:val="0"/>
        <w:autoSpaceDN w:val="0"/>
        <w:spacing w:line="375"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对于这样一家曾经对地方财政和就业有过巨大贡献的民营企业，地方政府究竟该不该施以援手？</w:t>
      </w:r>
    </w:p>
    <w:p>
      <w:pPr>
        <w:wordWrap w:val="0"/>
        <w:autoSpaceDN w:val="0"/>
        <w:spacing w:line="375"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中国政法大学财税法研究中心主任施正文表示，依据当前的法律法规，地方政府在两种情况之下可以经人大审批动用财政资金来为企业还债：一是偿还地方融资平台的债务，目前政策允许地方政府出面为融资平台进行担保；二是企业中有政府的国有股权，政府对这项债务签订了偿还协议，因而有偿还义务。“除此两种情况，其他情况均不合法。”</w:t>
      </w:r>
    </w:p>
    <w:p>
      <w:pPr>
        <w:wordWrap w:val="0"/>
        <w:autoSpaceDN w:val="0"/>
        <w:spacing w:line="375"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施正文说，现行法律明文禁止地方政府为企业进行担保，如果当地政府曾经这么做，就是明显违法，更不能动用财政资金来为其还债。担保法禁止政府给商人和企业提供担保，正是为了防止在招商引资的驱动下，地方政府竞相攀比所引发的财政危机和金融危机。“财政资金是用来提供公共服务的，不是用来发展某个企业的，而且这个企业并不关系重大公共利益和经济安全，只是一个处于竞争性行业中的龙头企业，仅仅是因为它交税多、就业多，政府就出钱替它偿还债务，那等于完全模糊了政府和企业的边界，是绝对不可以的。”</w:t>
      </w:r>
    </w:p>
    <w:p>
      <w:pPr>
        <w:wordWrap w:val="0"/>
        <w:autoSpaceDN w:val="0"/>
        <w:spacing w:line="375"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中国税务学会理事胡怡建却有另一番解读。“从理论上说，公共财政主要提供公共服务，民营企业是市场化私人品，从常理来讲动用公共财政资金救助民营企业说不通。但胡怡建又从另一角度解释：“中国的财政理念并不完全与现代财政理念贴合”。对“财政”实际涵义可能存在的误解导致了分歧所在。</w:t>
      </w:r>
    </w:p>
    <w:p>
      <w:pPr>
        <w:wordWrap w:val="0"/>
        <w:autoSpaceDN w:val="0"/>
        <w:spacing w:line="375"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们的财政实际不完全是民生财政，政府也承担经济建设的职能，过去是给一些优质企业减免税，后来中央不允许了，地方就给一些财政补贴，这个财政补贴就是从预算专款中来的。政府要履行经济建设的职能，吸引企业落地投产，这和西方现代意义上的“财政”存在一些区别。”在这种背景下，适当支持企业“过冬”也能说得通。</w:t>
      </w:r>
    </w:p>
    <w:p>
      <w:pPr>
        <w:wordWrap w:val="0"/>
        <w:autoSpaceDN w:val="0"/>
        <w:spacing w:line="375" w:lineRule="atLeast"/>
        <w:ind w:firstLine="480" w:firstLineChars="200"/>
        <w:rPr>
          <w:rFonts w:ascii="宋体" w:hAnsi="宋体" w:cs="宋体"/>
          <w:color w:val="000000"/>
          <w:kern w:val="0"/>
          <w:sz w:val="24"/>
        </w:rPr>
      </w:pPr>
      <w:r>
        <w:rPr>
          <w:rFonts w:hint="eastAsia" w:ascii="宋体" w:hAnsi="宋体" w:cs="宋体"/>
          <w:color w:val="000000"/>
          <w:kern w:val="0"/>
          <w:sz w:val="24"/>
        </w:rPr>
        <w:t>企业亏损了是找市场还是找市长这是一个老问题。从现实情况看，政府作为监管者和扶持者不能完全撇清责任。</w:t>
      </w:r>
      <w:r>
        <w:rPr>
          <w:rFonts w:hint="eastAsia" w:ascii="Arial" w:hAnsi="宋体"/>
          <w:bCs/>
          <w:color w:val="000000"/>
          <w:sz w:val="24"/>
          <w:szCs w:val="28"/>
        </w:rPr>
        <w:t>从另一方面看，险情就是命令！见死不救，最后的烂摊子还是政府收拾。况且，在国外危机时期政府对企业救助是常识，美国政府施救的通用公司也是民营企业。而我国国有企业何尝不是救而又救？况且是垫付资金，虽有有血本无归的风险！</w:t>
      </w:r>
      <w:r>
        <w:rPr>
          <w:rFonts w:hint="eastAsia" w:ascii="宋体" w:hAnsi="宋体"/>
          <w:color w:val="000000"/>
          <w:sz w:val="24"/>
        </w:rPr>
        <w:t>　</w:t>
      </w:r>
    </w:p>
    <w:p>
      <w:pPr>
        <w:wordWrap w:val="0"/>
        <w:autoSpaceDN w:val="0"/>
        <w:spacing w:line="375" w:lineRule="atLeast"/>
        <w:ind w:firstLine="480" w:firstLineChars="200"/>
        <w:rPr>
          <w:rFonts w:hint="eastAsia" w:ascii="Arial" w:hAnsi="宋体"/>
          <w:bCs/>
          <w:color w:val="000000"/>
          <w:sz w:val="24"/>
          <w:szCs w:val="28"/>
        </w:rPr>
      </w:pPr>
      <w:r>
        <w:rPr>
          <w:rFonts w:hint="eastAsia" w:ascii="Arial" w:hAnsi="宋体"/>
          <w:bCs/>
          <w:color w:val="000000"/>
          <w:sz w:val="24"/>
          <w:szCs w:val="28"/>
        </w:rPr>
        <w:t>既然要支持民营企业，那么为何偏偏是赛维，那些微小企业哪个不是“嗷嗷待哺”。无锡尚德在破产重组之前，政府也进行了救市，结果被企业拒绝，光伏巨头无锡尚德选择了市场化的方式自救。人们在质疑之余，对赛维的命运和新余救市的结果充满了疑虑。</w:t>
      </w:r>
    </w:p>
    <w:p>
      <w:pPr>
        <w:wordWrap w:val="0"/>
        <w:autoSpaceDN w:val="0"/>
        <w:spacing w:line="375" w:lineRule="atLeast"/>
        <w:rPr>
          <w:rFonts w:hint="eastAsia" w:ascii="Arial" w:hAnsi="宋体"/>
          <w:b/>
          <w:color w:val="000000"/>
          <w:sz w:val="28"/>
          <w:szCs w:val="28"/>
        </w:rPr>
      </w:pPr>
      <w:r>
        <w:rPr>
          <w:rFonts w:hint="eastAsia" w:ascii="Arial" w:hAnsi="宋体"/>
          <w:bCs/>
          <w:color w:val="000000"/>
          <w:sz w:val="24"/>
          <w:szCs w:val="28"/>
        </w:rPr>
        <w:t xml:space="preserve">   </w:t>
      </w:r>
      <w:r>
        <w:rPr>
          <w:rFonts w:hint="eastAsia" w:ascii="Arial" w:hAnsi="宋体"/>
          <w:b/>
          <w:color w:val="000000"/>
          <w:sz w:val="24"/>
          <w:szCs w:val="28"/>
        </w:rPr>
        <w:t xml:space="preserve"> </w:t>
      </w:r>
      <w:r>
        <w:rPr>
          <w:rFonts w:hint="eastAsia" w:ascii="Arial" w:hAnsi="宋体"/>
          <w:b/>
          <w:color w:val="000000"/>
          <w:sz w:val="28"/>
          <w:szCs w:val="28"/>
        </w:rPr>
        <w:t>2.第一次亲密接触</w:t>
      </w:r>
    </w:p>
    <w:p>
      <w:pPr>
        <w:wordWrap w:val="0"/>
        <w:autoSpaceDN w:val="0"/>
        <w:spacing w:line="375" w:lineRule="atLeast"/>
        <w:ind w:firstLine="494" w:firstLineChars="200"/>
        <w:jc w:val="left"/>
        <w:rPr>
          <w:rFonts w:ascii="宋体" w:hAnsi="宋体"/>
          <w:b/>
          <w:color w:val="000000"/>
          <w:spacing w:val="3"/>
          <w:sz w:val="24"/>
        </w:rPr>
      </w:pPr>
      <w:r>
        <w:rPr>
          <w:rFonts w:hint="eastAsia" w:ascii="宋体" w:hAnsi="宋体"/>
          <w:b/>
          <w:color w:val="000000"/>
          <w:spacing w:val="3"/>
          <w:sz w:val="24"/>
        </w:rPr>
        <w:t>2.1一场车祸促成赛维驻足</w:t>
      </w:r>
    </w:p>
    <w:p>
      <w:pPr>
        <w:wordWrap w:val="0"/>
        <w:autoSpaceDN w:val="0"/>
        <w:spacing w:line="375" w:lineRule="atLeast"/>
        <w:ind w:firstLine="492" w:firstLineChars="200"/>
        <w:jc w:val="left"/>
        <w:rPr>
          <w:rFonts w:hint="eastAsia" w:ascii="宋体" w:hAnsi="宋体"/>
          <w:color w:val="000000"/>
          <w:spacing w:val="3"/>
          <w:sz w:val="24"/>
        </w:rPr>
      </w:pPr>
      <w:r>
        <w:rPr>
          <w:rFonts w:hint="eastAsia" w:ascii="宋体" w:hAnsi="宋体"/>
          <w:color w:val="000000"/>
          <w:spacing w:val="3"/>
          <w:sz w:val="24"/>
        </w:rPr>
        <w:t>2005年春节，彭小峰因一场车祸困在了新余，这场意外促成了彭小峰和时任市长汪德和半个小时的“密谈”，正是这次“密谈”孕育和催生了“世界一流光伏企业”的雄伟计划。</w:t>
      </w:r>
    </w:p>
    <w:p>
      <w:pPr>
        <w:wordWrap w:val="0"/>
        <w:autoSpaceDN w:val="0"/>
        <w:spacing w:line="375" w:lineRule="atLeast"/>
        <w:ind w:firstLine="492" w:firstLineChars="200"/>
        <w:jc w:val="left"/>
        <w:rPr>
          <w:rFonts w:hint="eastAsia" w:ascii="宋体" w:hAnsi="宋体"/>
          <w:color w:val="000000"/>
          <w:spacing w:val="3"/>
          <w:sz w:val="24"/>
        </w:rPr>
      </w:pPr>
      <w:r>
        <w:rPr>
          <w:rFonts w:hint="eastAsia" w:ascii="宋体" w:hAnsi="宋体"/>
          <w:color w:val="000000"/>
          <w:spacing w:val="3"/>
          <w:sz w:val="24"/>
        </w:rPr>
        <w:t>2005年春节刚过，彭小峰及其妻急于从吉安老家返回苏州参加一场重要的商业谈判，但因雪天路滑，其宝马车与一辆大卡车刮蹭。情急之下，彭小峰向只有一面之交、时任新余市经济开发区区委书记吴建华求助，后者立即安排开发区主任贺为华（现任副市长）的车辆送彭小峰夫妇赶回苏州。</w:t>
      </w:r>
    </w:p>
    <w:p>
      <w:pPr>
        <w:wordWrap w:val="0"/>
        <w:autoSpaceDN w:val="0"/>
        <w:spacing w:line="375" w:lineRule="atLeast"/>
        <w:ind w:firstLine="494" w:firstLineChars="200"/>
        <w:jc w:val="left"/>
        <w:rPr>
          <w:rFonts w:hint="eastAsia" w:ascii="宋体" w:hAnsi="宋体"/>
          <w:b/>
          <w:bCs/>
          <w:color w:val="000000"/>
          <w:spacing w:val="3"/>
          <w:sz w:val="24"/>
        </w:rPr>
      </w:pPr>
      <w:r>
        <w:rPr>
          <w:rFonts w:hint="eastAsia" w:ascii="宋体" w:hAnsi="宋体"/>
          <w:b/>
          <w:bCs/>
          <w:color w:val="000000"/>
          <w:spacing w:val="3"/>
          <w:sz w:val="24"/>
        </w:rPr>
        <w:t>2.2丰厚的“彩礼”</w:t>
      </w:r>
    </w:p>
    <w:p>
      <w:pPr>
        <w:wordWrap w:val="0"/>
        <w:autoSpaceDN w:val="0"/>
        <w:spacing w:line="375" w:lineRule="atLeast"/>
        <w:ind w:firstLine="492" w:firstLineChars="200"/>
        <w:jc w:val="left"/>
        <w:rPr>
          <w:rFonts w:ascii="宋体" w:hAnsi="宋体"/>
          <w:color w:val="000000"/>
          <w:spacing w:val="3"/>
          <w:sz w:val="24"/>
        </w:rPr>
      </w:pPr>
      <w:r>
        <w:rPr>
          <w:rFonts w:hint="eastAsia" w:ascii="宋体" w:hAnsi="宋体"/>
          <w:color w:val="000000"/>
          <w:spacing w:val="3"/>
          <w:sz w:val="24"/>
        </w:rPr>
        <w:t>这一次的小插曲改变了彭小峰的投资计划。他将原本在苏州投资的太阳能光伏项目移至新余，条件是新余市政府帮助赛维解决2亿元启动资金并给予一系列的政策优惠。</w:t>
      </w:r>
    </w:p>
    <w:p>
      <w:pPr>
        <w:wordWrap w:val="0"/>
        <w:autoSpaceDN w:val="0"/>
        <w:spacing w:line="375" w:lineRule="atLeast"/>
        <w:ind w:firstLine="492" w:firstLineChars="200"/>
        <w:jc w:val="left"/>
        <w:rPr>
          <w:rFonts w:ascii="宋体" w:hAnsi="宋体"/>
          <w:color w:val="000000"/>
          <w:spacing w:val="3"/>
          <w:sz w:val="24"/>
        </w:rPr>
      </w:pPr>
      <w:r>
        <w:rPr>
          <w:rFonts w:hint="eastAsia" w:ascii="宋体" w:hAnsi="宋体"/>
          <w:color w:val="000000"/>
          <w:spacing w:val="3"/>
          <w:sz w:val="24"/>
        </w:rPr>
        <w:t>在征得上级机关的默许和支持之后，新余市以财政作担保，向江西省国际投资信托公司融资1.2亿元，江西省财政支持3000万元，新余市再从城市经营的节余中拿出5000万元，汪德和最终将2亿元凑足并交到彭小峰手中。</w:t>
      </w:r>
    </w:p>
    <w:p>
      <w:pPr>
        <w:wordWrap w:val="0"/>
        <w:autoSpaceDN w:val="0"/>
        <w:spacing w:line="375" w:lineRule="atLeast"/>
        <w:ind w:firstLine="492" w:firstLineChars="200"/>
        <w:jc w:val="left"/>
        <w:rPr>
          <w:rFonts w:hint="eastAsia" w:ascii="宋体" w:hAnsi="宋体"/>
          <w:color w:val="000000"/>
          <w:spacing w:val="3"/>
          <w:sz w:val="24"/>
        </w:rPr>
      </w:pPr>
      <w:r>
        <w:rPr>
          <w:rFonts w:hint="eastAsia" w:ascii="宋体" w:hAnsi="宋体"/>
          <w:color w:val="000000"/>
          <w:spacing w:val="3"/>
          <w:sz w:val="24"/>
        </w:rPr>
        <w:t>彭小峰也兑现了承诺，最终投资近30亿元的江西赛维LDK太阳能高科技有限公司由此诞生。既无地理优势、又无资本和人才优势的新余市亦借此成为“中国新能源之都”。</w:t>
      </w:r>
    </w:p>
    <w:p>
      <w:pPr>
        <w:wordWrap w:val="0"/>
        <w:autoSpaceDN w:val="0"/>
        <w:spacing w:line="375" w:lineRule="atLeast"/>
        <w:ind w:firstLine="562" w:firstLineChars="200"/>
        <w:jc w:val="left"/>
        <w:rPr>
          <w:rFonts w:hint="eastAsia" w:ascii="Arial" w:hAnsi="宋体"/>
          <w:b/>
          <w:bCs/>
          <w:color w:val="000000"/>
          <w:sz w:val="28"/>
          <w:szCs w:val="28"/>
        </w:rPr>
      </w:pPr>
      <w:r>
        <w:rPr>
          <w:rFonts w:hint="eastAsia" w:ascii="Arial" w:hAnsi="宋体"/>
          <w:b/>
          <w:bCs/>
          <w:color w:val="000000"/>
          <w:sz w:val="28"/>
          <w:szCs w:val="28"/>
        </w:rPr>
        <w:t>3. “执子之手”，并肩同行</w:t>
      </w:r>
    </w:p>
    <w:p>
      <w:pPr>
        <w:wordWrap w:val="0"/>
        <w:autoSpaceDN w:val="0"/>
        <w:spacing w:line="375" w:lineRule="atLeast"/>
        <w:ind w:firstLine="482" w:firstLineChars="200"/>
        <w:jc w:val="left"/>
        <w:rPr>
          <w:rFonts w:hint="eastAsia" w:ascii="Arial" w:hAnsi="宋体"/>
          <w:b/>
          <w:color w:val="000000"/>
          <w:sz w:val="24"/>
          <w:szCs w:val="28"/>
        </w:rPr>
      </w:pPr>
      <w:r>
        <w:rPr>
          <w:rFonts w:hint="eastAsia" w:ascii="Arial" w:hAnsi="宋体"/>
          <w:b/>
          <w:color w:val="000000"/>
          <w:sz w:val="24"/>
          <w:szCs w:val="28"/>
        </w:rPr>
        <w:t>3.1江西省寄予赛维厚望</w:t>
      </w:r>
    </w:p>
    <w:p>
      <w:pPr>
        <w:wordWrap w:val="0"/>
        <w:autoSpaceDN w:val="0"/>
        <w:spacing w:line="375" w:lineRule="atLeast"/>
        <w:ind w:firstLine="360" w:firstLineChars="150"/>
        <w:jc w:val="left"/>
        <w:rPr>
          <w:rFonts w:hint="eastAsia"/>
          <w:sz w:val="24"/>
        </w:rPr>
      </w:pPr>
      <w:r>
        <w:rPr>
          <w:rFonts w:hint="eastAsia"/>
          <w:sz w:val="24"/>
        </w:rPr>
        <w:t xml:space="preserve"> 江西省对赛维LDK高看一眼，厚爱一层。只要江西省招商引资政策上能够照顾到的全部到位，而且尽可能给予更多的关照。江西省2011年将光伏产业作为江西未来发展的战略性支柱产业列入了《江西省十二五发展规划纲要》。</w:t>
      </w:r>
    </w:p>
    <w:p>
      <w:pPr>
        <w:wordWrap w:val="0"/>
        <w:autoSpaceDN w:val="0"/>
        <w:spacing w:line="375" w:lineRule="atLeast"/>
        <w:ind w:firstLine="360" w:firstLineChars="150"/>
        <w:jc w:val="left"/>
        <w:rPr>
          <w:rFonts w:hint="eastAsia" w:ascii="Arial" w:hAnsi="宋体"/>
          <w:b/>
          <w:color w:val="000000"/>
          <w:sz w:val="24"/>
          <w:szCs w:val="28"/>
        </w:rPr>
      </w:pPr>
      <w:r>
        <w:rPr>
          <w:rFonts w:hint="eastAsia"/>
          <w:sz w:val="24"/>
        </w:rPr>
        <w:t xml:space="preserve"> 在人才培养方面，江西省政府亦给予赛维大力支持。</w:t>
      </w:r>
      <w:r>
        <w:rPr>
          <w:sz w:val="24"/>
        </w:rPr>
        <w:t>2008年，江西省发布了《关于加快光伏产业人才培养工作的实施意见》</w:t>
      </w:r>
      <w:r>
        <w:rPr>
          <w:rFonts w:hint="eastAsia"/>
          <w:sz w:val="24"/>
        </w:rPr>
        <w:t>。</w:t>
      </w:r>
      <w:r>
        <w:rPr>
          <w:sz w:val="24"/>
        </w:rPr>
        <w:t>同年10月，在江西省委、省政府的大力支持和倡导下，南昌大学光伏学院正式成立</w:t>
      </w:r>
      <w:r>
        <w:rPr>
          <w:rFonts w:hint="eastAsia"/>
          <w:sz w:val="24"/>
        </w:rPr>
        <w:t>，院牌上赛维的企业标志分外显眼</w:t>
      </w:r>
      <w:r>
        <w:rPr>
          <w:sz w:val="24"/>
        </w:rPr>
        <w:t>。</w:t>
      </w:r>
      <w:r>
        <w:rPr>
          <w:rFonts w:hint="eastAsia"/>
          <w:sz w:val="24"/>
        </w:rPr>
        <w:t>南昌大学</w:t>
      </w:r>
      <w:r>
        <w:rPr>
          <w:sz w:val="24"/>
        </w:rPr>
        <w:t>是国内第一家、全球第二家开设光伏本科专业的高等院校</w:t>
      </w:r>
      <w:r>
        <w:rPr>
          <w:rFonts w:hint="eastAsia"/>
          <w:sz w:val="24"/>
        </w:rPr>
        <w:t>。</w:t>
      </w:r>
    </w:p>
    <w:p>
      <w:pPr>
        <w:wordWrap w:val="0"/>
        <w:autoSpaceDN w:val="0"/>
        <w:spacing w:line="375" w:lineRule="atLeast"/>
        <w:ind w:firstLine="480" w:firstLineChars="200"/>
        <w:jc w:val="left"/>
        <w:rPr>
          <w:rFonts w:ascii="Arial" w:hAnsi="宋体"/>
          <w:b/>
          <w:color w:val="000000"/>
          <w:sz w:val="24"/>
          <w:szCs w:val="28"/>
        </w:rPr>
      </w:pPr>
      <w:r>
        <w:rPr>
          <w:rFonts w:hint="eastAsia" w:ascii="Arial" w:hAnsi="宋体"/>
          <w:color w:val="000000"/>
          <w:sz w:val="24"/>
          <w:szCs w:val="28"/>
        </w:rPr>
        <w:t>2013年9月，</w:t>
      </w:r>
      <w:r>
        <w:rPr>
          <w:rFonts w:hint="eastAsia" w:ascii="Arial" w:hAnsi="宋体"/>
          <w:color w:val="000000"/>
          <w:sz w:val="24"/>
        </w:rPr>
        <w:t>江西省政府出台《促进我省光伏产业健康发展的若干政策措施》，共出台16条措施推动江西省光伏产业</w:t>
      </w:r>
      <w:r>
        <w:rPr>
          <w:rFonts w:ascii="Arial" w:hAnsi="宋体"/>
          <w:color w:val="000000"/>
          <w:sz w:val="24"/>
        </w:rPr>
        <w:t>加快技术进步、开拓市场、转型升级</w:t>
      </w:r>
      <w:r>
        <w:rPr>
          <w:rFonts w:hint="eastAsia" w:ascii="Arial" w:hAnsi="宋体"/>
          <w:color w:val="000000"/>
          <w:sz w:val="24"/>
        </w:rPr>
        <w:t>。</w:t>
      </w:r>
      <w:r>
        <w:rPr>
          <w:rFonts w:hint="eastAsia" w:ascii="Arial"/>
          <w:color w:val="000000"/>
          <w:sz w:val="24"/>
        </w:rPr>
        <w:t>在企业贷款、电力保障等方面给予光伏产业支持，为</w:t>
      </w:r>
      <w:r>
        <w:rPr>
          <w:rFonts w:ascii="Arial" w:hAnsi="宋体"/>
          <w:color w:val="000000"/>
          <w:sz w:val="24"/>
        </w:rPr>
        <w:t>2015</w:t>
      </w:r>
      <w:r>
        <w:rPr>
          <w:rFonts w:ascii="Arial" w:hAnsi="宋体"/>
          <w:color w:val="000000"/>
          <w:sz w:val="24"/>
          <w:szCs w:val="28"/>
        </w:rPr>
        <w:t>年光伏产业主营业务收入突破千亿元提供政策支持。</w:t>
      </w:r>
    </w:p>
    <w:p>
      <w:pPr>
        <w:wordWrap w:val="0"/>
        <w:autoSpaceDN w:val="0"/>
        <w:spacing w:line="375" w:lineRule="atLeast"/>
        <w:ind w:firstLine="361" w:firstLineChars="150"/>
        <w:jc w:val="left"/>
        <w:rPr>
          <w:rFonts w:ascii="Arial" w:hAnsi="宋体"/>
          <w:b/>
          <w:color w:val="000000"/>
          <w:sz w:val="24"/>
          <w:szCs w:val="28"/>
        </w:rPr>
      </w:pPr>
      <w:r>
        <w:rPr>
          <w:rFonts w:hint="eastAsia" w:ascii="Arial" w:hAnsi="宋体"/>
          <w:b/>
          <w:color w:val="000000"/>
          <w:sz w:val="24"/>
          <w:szCs w:val="28"/>
        </w:rPr>
        <w:t xml:space="preserve"> 3.2 新余市政府精心打造的“名片”</w:t>
      </w:r>
    </w:p>
    <w:p>
      <w:pPr>
        <w:wordWrap w:val="0"/>
        <w:autoSpaceDN w:val="0"/>
        <w:spacing w:line="375" w:lineRule="atLeast"/>
        <w:ind w:firstLine="480" w:firstLineChars="200"/>
        <w:jc w:val="left"/>
        <w:rPr>
          <w:rFonts w:hint="eastAsia" w:ascii="Arial" w:hAnsi="宋体"/>
          <w:color w:val="000000"/>
          <w:sz w:val="24"/>
          <w:szCs w:val="28"/>
        </w:rPr>
      </w:pPr>
      <w:r>
        <w:rPr>
          <w:rFonts w:hint="eastAsia" w:ascii="Arial" w:hAnsi="宋体"/>
          <w:color w:val="000000"/>
          <w:sz w:val="24"/>
          <w:szCs w:val="28"/>
        </w:rPr>
        <w:t>新余市把光伏产业作为推动产业转型的核心领域，将赛维LDK作为产业转型的标杆。新余市政府网站页面上滚动着红色的字幕，这座昔日的“钢都”有了全新的定位：国家新能源科技城、国家新能源之都、可再生能源示范城市。这些城市定位无不与赛维这个光伏巨头有关。</w:t>
      </w:r>
    </w:p>
    <w:p>
      <w:pPr>
        <w:wordWrap w:val="0"/>
        <w:autoSpaceDN w:val="0"/>
        <w:spacing w:line="375" w:lineRule="atLeast"/>
        <w:ind w:firstLine="480" w:firstLineChars="200"/>
        <w:jc w:val="left"/>
        <w:rPr>
          <w:rFonts w:hint="eastAsia" w:ascii="Arial" w:hAnsi="宋体"/>
          <w:color w:val="000000"/>
          <w:sz w:val="24"/>
          <w:szCs w:val="28"/>
        </w:rPr>
      </w:pPr>
      <w:r>
        <w:rPr>
          <w:rFonts w:hint="eastAsia" w:ascii="Arial" w:hAnsi="宋体"/>
          <w:color w:val="000000"/>
          <w:sz w:val="24"/>
          <w:szCs w:val="28"/>
        </w:rPr>
        <w:t>2010年2月，新余市政府不遗余力推动并成立了我国首个光伏要素市场——“中国光伏交易市场”，新余高新区配套出台“三年免租”、“税收奖励”等优惠政策打造这个新兴产业市场。同一年，赛维成立五周年纪念大会在新余举行，新余市主要领导出席会议。续任的新余市市委书记李安泽传达了江西省省委和省政府对赛维成立五周年的祝贺，认为赛维的成就不仅为同行业树立了标杆，而且为吸引更多的光伏上下游配套企业来新余投资兴业，为加快建设世界级的光伏产业基地打下了坚实的基础，极大地鼓舞了全市人民“突破工业3000亿、建设新型工业城”的信心和决心。</w:t>
      </w:r>
    </w:p>
    <w:p>
      <w:pPr>
        <w:wordWrap w:val="0"/>
        <w:autoSpaceDN w:val="0"/>
        <w:spacing w:line="375" w:lineRule="atLeast"/>
        <w:ind w:firstLine="480" w:firstLineChars="200"/>
        <w:jc w:val="left"/>
        <w:rPr>
          <w:rFonts w:hint="eastAsia" w:ascii="Arial" w:hAnsi="宋体"/>
          <w:color w:val="000000"/>
          <w:sz w:val="24"/>
          <w:szCs w:val="28"/>
        </w:rPr>
      </w:pPr>
      <w:r>
        <w:rPr>
          <w:rFonts w:hint="eastAsia" w:ascii="Arial" w:hAnsi="宋体"/>
          <w:color w:val="000000"/>
          <w:sz w:val="24"/>
          <w:szCs w:val="28"/>
        </w:rPr>
        <w:t>新余</w:t>
      </w:r>
      <w:r>
        <w:rPr>
          <w:rFonts w:ascii="Arial" w:hAnsi="宋体"/>
          <w:color w:val="000000"/>
          <w:sz w:val="24"/>
          <w:szCs w:val="28"/>
        </w:rPr>
        <w:t>市委、市政府对发展太阳能光伏产业</w:t>
      </w:r>
      <w:r>
        <w:rPr>
          <w:rFonts w:hint="eastAsia" w:ascii="Arial" w:hAnsi="宋体"/>
          <w:color w:val="000000"/>
          <w:sz w:val="24"/>
          <w:szCs w:val="28"/>
        </w:rPr>
        <w:t>的重视程度超乎想象。</w:t>
      </w:r>
      <w:r>
        <w:rPr>
          <w:rFonts w:ascii="Arial" w:hAnsi="宋体"/>
          <w:color w:val="000000"/>
          <w:sz w:val="24"/>
          <w:szCs w:val="28"/>
        </w:rPr>
        <w:t>在成功引进江西赛维LDK后，新余市</w:t>
      </w:r>
      <w:r>
        <w:rPr>
          <w:rFonts w:hint="eastAsia" w:ascii="Arial" w:hAnsi="宋体"/>
          <w:color w:val="000000"/>
          <w:sz w:val="24"/>
          <w:szCs w:val="28"/>
        </w:rPr>
        <w:t>政府</w:t>
      </w:r>
      <w:r>
        <w:rPr>
          <w:rFonts w:ascii="Arial" w:hAnsi="宋体"/>
          <w:color w:val="000000"/>
          <w:sz w:val="24"/>
          <w:szCs w:val="28"/>
        </w:rPr>
        <w:t>成立了推进新能源产业发展领导小组，出台了发展新能源产业的各项优惠扶持政策，全力优化企业发展环境，对赛维LDK实行全天候、全方位、全过程的“保姆式服务”</w:t>
      </w:r>
      <w:r>
        <w:rPr>
          <w:rFonts w:hint="eastAsia" w:ascii="Arial" w:hAnsi="宋体"/>
          <w:color w:val="000000"/>
          <w:sz w:val="24"/>
          <w:szCs w:val="28"/>
        </w:rPr>
        <w:t>。</w:t>
      </w:r>
    </w:p>
    <w:p>
      <w:pPr>
        <w:wordWrap w:val="0"/>
        <w:autoSpaceDN w:val="0"/>
        <w:spacing w:line="375" w:lineRule="atLeast"/>
        <w:ind w:firstLine="480" w:firstLineChars="200"/>
        <w:jc w:val="left"/>
        <w:rPr>
          <w:rFonts w:ascii="Arial" w:hAnsi="宋体"/>
          <w:color w:val="000000"/>
          <w:sz w:val="24"/>
          <w:szCs w:val="28"/>
        </w:rPr>
      </w:pPr>
      <w:r>
        <w:rPr>
          <w:rFonts w:hint="eastAsia" w:ascii="Arial" w:hAnsi="宋体"/>
          <w:color w:val="000000"/>
          <w:sz w:val="24"/>
          <w:szCs w:val="28"/>
        </w:rPr>
        <w:t>为支持赛维发展，新余</w:t>
      </w:r>
      <w:r>
        <w:rPr>
          <w:rFonts w:ascii="Arial" w:hAnsi="宋体"/>
          <w:color w:val="000000"/>
          <w:sz w:val="24"/>
          <w:szCs w:val="28"/>
        </w:rPr>
        <w:t>从</w:t>
      </w:r>
      <w:r>
        <w:rPr>
          <w:rFonts w:hint="eastAsia" w:ascii="Arial" w:hAnsi="宋体"/>
          <w:color w:val="000000"/>
          <w:sz w:val="24"/>
          <w:szCs w:val="28"/>
        </w:rPr>
        <w:t>当地</w:t>
      </w:r>
      <w:r>
        <w:rPr>
          <w:rFonts w:ascii="Arial" w:hAnsi="宋体"/>
          <w:color w:val="000000"/>
          <w:sz w:val="24"/>
          <w:szCs w:val="28"/>
        </w:rPr>
        <w:t>市直部门抽调人员组建了</w:t>
      </w:r>
      <w:r>
        <w:rPr>
          <w:rFonts w:hint="eastAsia" w:ascii="Arial" w:hAnsi="宋体"/>
          <w:color w:val="000000"/>
          <w:sz w:val="24"/>
          <w:szCs w:val="28"/>
        </w:rPr>
        <w:t>其</w:t>
      </w:r>
      <w:r>
        <w:rPr>
          <w:rFonts w:ascii="Arial" w:hAnsi="宋体"/>
          <w:color w:val="000000"/>
          <w:sz w:val="24"/>
          <w:szCs w:val="28"/>
        </w:rPr>
        <w:t>精干高效的规划、建设、土管、环保队伍常驻企业，为企业发展排忧解难。</w:t>
      </w:r>
      <w:r>
        <w:rPr>
          <w:rFonts w:hint="eastAsia" w:ascii="Arial" w:hAnsi="宋体"/>
          <w:color w:val="000000"/>
          <w:sz w:val="24"/>
          <w:szCs w:val="28"/>
        </w:rPr>
        <w:t>汪德和说：“</w:t>
      </w:r>
      <w:r>
        <w:rPr>
          <w:rFonts w:ascii="Arial" w:hAnsi="宋体"/>
          <w:color w:val="000000"/>
          <w:sz w:val="24"/>
          <w:szCs w:val="28"/>
        </w:rPr>
        <w:t>赛维LDK创造的奇迹，决不是偶然，而是企业与政府共同演绎的又好又快发展的共赢的精彩乐章</w:t>
      </w:r>
      <w:r>
        <w:rPr>
          <w:rFonts w:hint="eastAsia" w:ascii="Arial" w:hAnsi="宋体"/>
          <w:color w:val="000000"/>
          <w:sz w:val="24"/>
          <w:szCs w:val="28"/>
        </w:rPr>
        <w:t>。”</w:t>
      </w:r>
      <w:r>
        <w:rPr>
          <w:rFonts w:ascii="Arial" w:hAnsi="宋体"/>
          <w:color w:val="000000"/>
          <w:sz w:val="24"/>
          <w:szCs w:val="28"/>
        </w:rPr>
        <w:t>汪</w:t>
      </w:r>
      <w:r>
        <w:rPr>
          <w:rFonts w:hint="eastAsia" w:ascii="Arial" w:hAnsi="宋体"/>
          <w:color w:val="000000"/>
          <w:sz w:val="24"/>
          <w:szCs w:val="28"/>
        </w:rPr>
        <w:t>期望在五年内扶持</w:t>
      </w:r>
      <w:r>
        <w:rPr>
          <w:rFonts w:ascii="Arial" w:hAnsi="宋体"/>
          <w:color w:val="000000"/>
          <w:sz w:val="24"/>
          <w:szCs w:val="28"/>
        </w:rPr>
        <w:t>赛维LDK成为世界光伏产业中的一流企业和世界级太阳能多晶硅片龙头企业，新余将真正成为世界级的太阳能光伏产业基地。</w:t>
      </w:r>
    </w:p>
    <w:p>
      <w:pPr>
        <w:wordWrap w:val="0"/>
        <w:autoSpaceDN w:val="0"/>
        <w:spacing w:line="375" w:lineRule="atLeast"/>
        <w:jc w:val="left"/>
        <w:rPr>
          <w:rFonts w:hint="eastAsia"/>
          <w:sz w:val="24"/>
        </w:rPr>
      </w:pPr>
      <w:r>
        <w:rPr>
          <w:rFonts w:hint="eastAsia"/>
          <w:sz w:val="24"/>
        </w:rPr>
        <w:t xml:space="preserve">    赛维之于新余，并不是一般民营企业之于地方政府的政企角色关系，而是“骨肉相连”的连体关系。赛维LDK对于新余，不仅具有巨大的经济影响，更有重要的社会影响和政治影响。而赛维LDK每向前跨一步，都有赖于地方政府在其背后的强劲“推力”。</w:t>
      </w:r>
    </w:p>
    <w:p>
      <w:pPr>
        <w:wordWrap w:val="0"/>
        <w:autoSpaceDN w:val="0"/>
        <w:spacing w:line="375" w:lineRule="atLeast"/>
        <w:jc w:val="left"/>
        <w:rPr>
          <w:rFonts w:hint="eastAsia" w:ascii="Arial" w:hAnsi="宋体"/>
          <w:b/>
          <w:color w:val="000000"/>
          <w:sz w:val="24"/>
          <w:szCs w:val="28"/>
        </w:rPr>
      </w:pPr>
      <w:r>
        <w:rPr>
          <w:rFonts w:hint="eastAsia"/>
          <w:sz w:val="24"/>
        </w:rPr>
        <w:t xml:space="preserve">    </w:t>
      </w:r>
      <w:r>
        <w:rPr>
          <w:rFonts w:hint="eastAsia" w:ascii="Arial" w:hAnsi="宋体"/>
          <w:b/>
          <w:color w:val="000000"/>
          <w:sz w:val="24"/>
          <w:szCs w:val="28"/>
        </w:rPr>
        <w:t>3.3 商界“新贵”助推新余经济发展</w:t>
      </w:r>
    </w:p>
    <w:p>
      <w:pPr>
        <w:pStyle w:val="7"/>
        <w:spacing w:line="375" w:lineRule="atLeast"/>
        <w:ind w:firstLine="480"/>
        <w:jc w:val="left"/>
        <w:rPr>
          <w:rFonts w:hint="eastAsia" w:ascii="宋体" w:hAnsi="宋体" w:cs="宋体"/>
          <w:color w:val="000000"/>
          <w:kern w:val="0"/>
          <w:sz w:val="24"/>
          <w:szCs w:val="24"/>
        </w:rPr>
      </w:pPr>
      <w:r>
        <w:rPr>
          <w:rFonts w:hint="eastAsia" w:ascii="宋体" w:hAnsi="宋体" w:cs="宋体"/>
          <w:color w:val="000000"/>
          <w:kern w:val="0"/>
          <w:sz w:val="24"/>
          <w:szCs w:val="24"/>
        </w:rPr>
        <w:t>2005年7月成立的江西赛维LDK是专门从事太阳能硅片生产和高纯度多晶硅及太阳能组件制造的特大型光伏企业。2008年，赛维LDK</w:t>
      </w:r>
      <w:r>
        <w:rPr>
          <w:rFonts w:ascii="宋体" w:hAnsi="宋体" w:cs="宋体"/>
          <w:color w:val="000000"/>
          <w:kern w:val="0"/>
          <w:sz w:val="24"/>
          <w:szCs w:val="24"/>
        </w:rPr>
        <w:t>实现销售收入突破120亿元，</w:t>
      </w:r>
      <w:r>
        <w:rPr>
          <w:rFonts w:hint="eastAsia" w:ascii="宋体" w:hAnsi="宋体" w:cs="宋体"/>
          <w:color w:val="000000"/>
          <w:kern w:val="0"/>
          <w:sz w:val="24"/>
          <w:szCs w:val="24"/>
        </w:rPr>
        <w:t>全年上缴利税2.8亿元，</w:t>
      </w:r>
      <w:r>
        <w:rPr>
          <w:rFonts w:ascii="宋体" w:hAnsi="宋体" w:cs="宋体"/>
          <w:color w:val="000000"/>
          <w:kern w:val="0"/>
          <w:sz w:val="24"/>
          <w:szCs w:val="24"/>
        </w:rPr>
        <w:t>成为最年轻的中国企业500强，中国科技十强企业，也是江西唯一销售收入过百亿的民营高科技企业</w:t>
      </w:r>
      <w:r>
        <w:rPr>
          <w:rFonts w:hint="eastAsia" w:ascii="宋体" w:hAnsi="宋体" w:cs="宋体"/>
          <w:color w:val="000000"/>
          <w:kern w:val="0"/>
          <w:sz w:val="24"/>
          <w:szCs w:val="24"/>
        </w:rPr>
        <w:t>。到2011年，仅赛维一家企业上缴税收13.6亿元，超过新余钢铁，成为新余市财政贡献第一大户。</w:t>
      </w:r>
    </w:p>
    <w:p>
      <w:pPr>
        <w:wordWrap w:val="0"/>
        <w:autoSpaceDN w:val="0"/>
        <w:spacing w:line="375" w:lineRule="atLeast"/>
        <w:ind w:firstLine="482" w:firstLineChars="200"/>
        <w:jc w:val="center"/>
        <w:rPr>
          <w:rFonts w:hint="eastAsia" w:ascii="Arial" w:hAnsi="宋体"/>
          <w:b/>
          <w:bCs/>
          <w:color w:val="000000"/>
          <w:sz w:val="24"/>
          <w:szCs w:val="28"/>
        </w:rPr>
      </w:pPr>
    </w:p>
    <w:p>
      <w:pPr>
        <w:wordWrap w:val="0"/>
        <w:autoSpaceDN w:val="0"/>
        <w:spacing w:line="375" w:lineRule="atLeast"/>
        <w:ind w:firstLine="482" w:firstLineChars="200"/>
        <w:jc w:val="center"/>
        <w:rPr>
          <w:rFonts w:hint="eastAsia" w:ascii="Arial" w:hAnsi="宋体"/>
          <w:b/>
          <w:bCs/>
          <w:color w:val="000000"/>
          <w:sz w:val="24"/>
          <w:szCs w:val="28"/>
        </w:rPr>
      </w:pPr>
    </w:p>
    <w:p>
      <w:pPr>
        <w:wordWrap w:val="0"/>
        <w:autoSpaceDN w:val="0"/>
        <w:spacing w:line="375" w:lineRule="atLeast"/>
        <w:ind w:firstLine="482" w:firstLineChars="200"/>
        <w:jc w:val="center"/>
        <w:rPr>
          <w:rFonts w:hint="eastAsia" w:ascii="Arial" w:hAnsi="宋体"/>
          <w:b/>
          <w:bCs/>
          <w:color w:val="000000"/>
          <w:sz w:val="24"/>
          <w:szCs w:val="28"/>
        </w:rPr>
      </w:pPr>
    </w:p>
    <w:p>
      <w:pPr>
        <w:wordWrap w:val="0"/>
        <w:autoSpaceDN w:val="0"/>
        <w:spacing w:line="375" w:lineRule="atLeast"/>
        <w:ind w:firstLine="482" w:firstLineChars="200"/>
        <w:jc w:val="center"/>
        <w:rPr>
          <w:rFonts w:hint="eastAsia" w:ascii="Arial" w:hAnsi="宋体"/>
          <w:b/>
          <w:bCs/>
          <w:color w:val="000000"/>
          <w:sz w:val="24"/>
          <w:szCs w:val="28"/>
        </w:rPr>
      </w:pPr>
    </w:p>
    <w:p>
      <w:pPr>
        <w:wordWrap w:val="0"/>
        <w:autoSpaceDN w:val="0"/>
        <w:spacing w:line="375" w:lineRule="atLeast"/>
        <w:ind w:firstLine="482" w:firstLineChars="200"/>
        <w:jc w:val="center"/>
        <w:rPr>
          <w:rFonts w:hint="eastAsia" w:ascii="Arial" w:hAnsi="宋体"/>
          <w:b/>
          <w:bCs/>
          <w:color w:val="000000"/>
          <w:sz w:val="24"/>
          <w:szCs w:val="28"/>
        </w:rPr>
      </w:pPr>
      <w:r>
        <w:rPr>
          <w:rFonts w:hint="eastAsia" w:ascii="Arial" w:hAnsi="宋体"/>
          <w:b/>
          <w:bCs/>
          <w:color w:val="000000"/>
          <w:sz w:val="24"/>
          <w:szCs w:val="28"/>
        </w:rPr>
        <w:t>表 1 赛维LDK对新余市经济贡献一览表</w:t>
      </w:r>
    </w:p>
    <w:p>
      <w:pPr>
        <w:wordWrap w:val="0"/>
        <w:autoSpaceDN w:val="0"/>
        <w:spacing w:line="375" w:lineRule="atLeast"/>
        <w:ind w:firstLine="480" w:firstLineChars="200"/>
        <w:jc w:val="right"/>
        <w:rPr>
          <w:rFonts w:hint="eastAsia" w:ascii="Arial" w:hAnsi="宋体"/>
          <w:color w:val="000000"/>
          <w:sz w:val="24"/>
          <w:szCs w:val="28"/>
        </w:rPr>
      </w:pPr>
      <w:r>
        <w:rPr>
          <w:rFonts w:hint="eastAsia" w:ascii="Arial" w:hAnsi="宋体"/>
          <w:color w:val="000000"/>
          <w:sz w:val="24"/>
          <w:szCs w:val="28"/>
        </w:rPr>
        <w:t>单位：亿元</w:t>
      </w:r>
    </w:p>
    <w:tbl>
      <w:tblPr>
        <w:tblStyle w:val="3"/>
        <w:tblpPr w:leftFromText="180" w:rightFromText="180" w:vertAnchor="text" w:horzAnchor="page" w:tblpXSpec="center" w:tblpY="12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882"/>
        <w:gridCol w:w="882"/>
        <w:gridCol w:w="935"/>
        <w:gridCol w:w="828"/>
        <w:gridCol w:w="881"/>
        <w:gridCol w:w="883"/>
        <w:gridCol w:w="882"/>
        <w:gridCol w:w="88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82" w:type="dxa"/>
            <w:vMerge w:val="restart"/>
            <w:noWrap w:val="0"/>
            <w:vAlign w:val="top"/>
          </w:tcPr>
          <w:p>
            <w:pPr>
              <w:wordWrap w:val="0"/>
              <w:autoSpaceDN w:val="0"/>
              <w:spacing w:line="375" w:lineRule="atLeast"/>
              <w:jc w:val="left"/>
              <w:rPr>
                <w:rFonts w:hint="eastAsia"/>
                <w:sz w:val="24"/>
              </w:rPr>
            </w:pPr>
            <w:r>
              <w:rPr>
                <w:rFonts w:hint="eastAsia"/>
                <w:sz w:val="24"/>
              </w:rPr>
              <w:t>年份</w:t>
            </w:r>
          </w:p>
        </w:tc>
        <w:tc>
          <w:tcPr>
            <w:tcW w:w="2699" w:type="dxa"/>
            <w:gridSpan w:val="3"/>
            <w:noWrap w:val="0"/>
            <w:vAlign w:val="top"/>
          </w:tcPr>
          <w:p>
            <w:pPr>
              <w:wordWrap w:val="0"/>
              <w:autoSpaceDN w:val="0"/>
              <w:spacing w:line="375" w:lineRule="atLeast"/>
              <w:jc w:val="center"/>
              <w:rPr>
                <w:rFonts w:hint="eastAsia"/>
                <w:sz w:val="24"/>
              </w:rPr>
            </w:pPr>
            <w:r>
              <w:rPr>
                <w:rFonts w:hint="eastAsia"/>
                <w:sz w:val="24"/>
              </w:rPr>
              <w:t>GDP比重</w:t>
            </w:r>
          </w:p>
        </w:tc>
        <w:tc>
          <w:tcPr>
            <w:tcW w:w="2592" w:type="dxa"/>
            <w:gridSpan w:val="3"/>
            <w:noWrap w:val="0"/>
            <w:vAlign w:val="top"/>
          </w:tcPr>
          <w:p>
            <w:pPr>
              <w:wordWrap w:val="0"/>
              <w:autoSpaceDN w:val="0"/>
              <w:spacing w:line="375" w:lineRule="atLeast"/>
              <w:jc w:val="center"/>
              <w:rPr>
                <w:rFonts w:hint="eastAsia"/>
                <w:sz w:val="24"/>
              </w:rPr>
            </w:pPr>
            <w:r>
              <w:rPr>
                <w:rFonts w:hint="eastAsia"/>
                <w:sz w:val="24"/>
              </w:rPr>
              <w:t>上缴税收比重</w:t>
            </w:r>
          </w:p>
        </w:tc>
        <w:tc>
          <w:tcPr>
            <w:tcW w:w="2647" w:type="dxa"/>
            <w:gridSpan w:val="3"/>
            <w:noWrap w:val="0"/>
            <w:vAlign w:val="top"/>
          </w:tcPr>
          <w:p>
            <w:pPr>
              <w:wordWrap w:val="0"/>
              <w:autoSpaceDN w:val="0"/>
              <w:spacing w:line="375" w:lineRule="atLeast"/>
              <w:jc w:val="center"/>
              <w:rPr>
                <w:rFonts w:hint="eastAsia"/>
                <w:sz w:val="24"/>
              </w:rPr>
            </w:pPr>
            <w:r>
              <w:rPr>
                <w:rFonts w:hint="eastAsia"/>
                <w:sz w:val="24"/>
              </w:rPr>
              <w:t>投资比重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82" w:type="dxa"/>
            <w:vMerge w:val="continue"/>
            <w:noWrap w:val="0"/>
            <w:vAlign w:val="top"/>
          </w:tcPr>
          <w:p>
            <w:pPr>
              <w:wordWrap w:val="0"/>
              <w:autoSpaceDN w:val="0"/>
              <w:spacing w:line="375" w:lineRule="atLeast"/>
              <w:jc w:val="left"/>
              <w:rPr>
                <w:rFonts w:hint="eastAsia"/>
                <w:sz w:val="24"/>
              </w:rPr>
            </w:pPr>
          </w:p>
        </w:tc>
        <w:tc>
          <w:tcPr>
            <w:tcW w:w="882" w:type="dxa"/>
            <w:noWrap w:val="0"/>
            <w:vAlign w:val="top"/>
          </w:tcPr>
          <w:p>
            <w:pPr>
              <w:wordWrap w:val="0"/>
              <w:autoSpaceDN w:val="0"/>
              <w:spacing w:line="375" w:lineRule="atLeast"/>
              <w:jc w:val="left"/>
              <w:rPr>
                <w:rFonts w:hint="eastAsia"/>
                <w:sz w:val="24"/>
              </w:rPr>
            </w:pPr>
            <w:r>
              <w:rPr>
                <w:rFonts w:hint="eastAsia"/>
                <w:sz w:val="24"/>
              </w:rPr>
              <w:t>赛维</w:t>
            </w:r>
          </w:p>
        </w:tc>
        <w:tc>
          <w:tcPr>
            <w:tcW w:w="882" w:type="dxa"/>
            <w:noWrap w:val="0"/>
            <w:vAlign w:val="top"/>
          </w:tcPr>
          <w:p>
            <w:pPr>
              <w:wordWrap w:val="0"/>
              <w:autoSpaceDN w:val="0"/>
              <w:spacing w:line="375" w:lineRule="atLeast"/>
              <w:jc w:val="left"/>
              <w:rPr>
                <w:rFonts w:hint="eastAsia"/>
                <w:sz w:val="24"/>
              </w:rPr>
            </w:pPr>
            <w:r>
              <w:rPr>
                <w:rFonts w:hint="eastAsia"/>
                <w:sz w:val="24"/>
              </w:rPr>
              <w:t>新余</w:t>
            </w:r>
          </w:p>
        </w:tc>
        <w:tc>
          <w:tcPr>
            <w:tcW w:w="935" w:type="dxa"/>
            <w:noWrap w:val="0"/>
            <w:vAlign w:val="top"/>
          </w:tcPr>
          <w:p>
            <w:pPr>
              <w:wordWrap w:val="0"/>
              <w:autoSpaceDN w:val="0"/>
              <w:spacing w:line="375" w:lineRule="atLeast"/>
              <w:jc w:val="left"/>
              <w:rPr>
                <w:rFonts w:hint="eastAsia"/>
                <w:sz w:val="24"/>
              </w:rPr>
            </w:pPr>
            <w:r>
              <w:rPr>
                <w:rFonts w:hint="eastAsia"/>
                <w:sz w:val="24"/>
              </w:rPr>
              <w:t>比重</w:t>
            </w:r>
          </w:p>
        </w:tc>
        <w:tc>
          <w:tcPr>
            <w:tcW w:w="828" w:type="dxa"/>
            <w:noWrap w:val="0"/>
            <w:vAlign w:val="top"/>
          </w:tcPr>
          <w:p>
            <w:pPr>
              <w:wordWrap w:val="0"/>
              <w:autoSpaceDN w:val="0"/>
              <w:spacing w:line="375" w:lineRule="atLeast"/>
              <w:jc w:val="left"/>
              <w:rPr>
                <w:rFonts w:hint="eastAsia"/>
                <w:sz w:val="24"/>
              </w:rPr>
            </w:pPr>
            <w:r>
              <w:rPr>
                <w:rFonts w:hint="eastAsia"/>
                <w:sz w:val="24"/>
              </w:rPr>
              <w:t>赛维</w:t>
            </w:r>
          </w:p>
        </w:tc>
        <w:tc>
          <w:tcPr>
            <w:tcW w:w="881" w:type="dxa"/>
            <w:noWrap w:val="0"/>
            <w:vAlign w:val="top"/>
          </w:tcPr>
          <w:p>
            <w:pPr>
              <w:wordWrap w:val="0"/>
              <w:autoSpaceDN w:val="0"/>
              <w:spacing w:line="375" w:lineRule="atLeast"/>
              <w:jc w:val="left"/>
              <w:rPr>
                <w:rFonts w:hint="eastAsia"/>
                <w:sz w:val="24"/>
              </w:rPr>
            </w:pPr>
            <w:r>
              <w:rPr>
                <w:rFonts w:hint="eastAsia"/>
                <w:sz w:val="24"/>
              </w:rPr>
              <w:t>新余</w:t>
            </w:r>
          </w:p>
        </w:tc>
        <w:tc>
          <w:tcPr>
            <w:tcW w:w="883" w:type="dxa"/>
            <w:noWrap w:val="0"/>
            <w:vAlign w:val="top"/>
          </w:tcPr>
          <w:p>
            <w:pPr>
              <w:wordWrap w:val="0"/>
              <w:autoSpaceDN w:val="0"/>
              <w:spacing w:line="375" w:lineRule="atLeast"/>
              <w:jc w:val="left"/>
              <w:rPr>
                <w:rFonts w:hint="eastAsia"/>
                <w:sz w:val="24"/>
              </w:rPr>
            </w:pPr>
            <w:r>
              <w:rPr>
                <w:rFonts w:hint="eastAsia"/>
                <w:sz w:val="24"/>
              </w:rPr>
              <w:t>比重</w:t>
            </w:r>
          </w:p>
        </w:tc>
        <w:tc>
          <w:tcPr>
            <w:tcW w:w="882" w:type="dxa"/>
            <w:noWrap w:val="0"/>
            <w:vAlign w:val="top"/>
          </w:tcPr>
          <w:p>
            <w:pPr>
              <w:wordWrap w:val="0"/>
              <w:autoSpaceDN w:val="0"/>
              <w:spacing w:line="375" w:lineRule="atLeast"/>
              <w:jc w:val="left"/>
              <w:rPr>
                <w:rFonts w:hint="eastAsia"/>
                <w:sz w:val="24"/>
              </w:rPr>
            </w:pPr>
            <w:r>
              <w:rPr>
                <w:rFonts w:hint="eastAsia"/>
                <w:sz w:val="24"/>
              </w:rPr>
              <w:t>赛维</w:t>
            </w:r>
          </w:p>
        </w:tc>
        <w:tc>
          <w:tcPr>
            <w:tcW w:w="883" w:type="dxa"/>
            <w:noWrap w:val="0"/>
            <w:vAlign w:val="top"/>
          </w:tcPr>
          <w:p>
            <w:pPr>
              <w:wordWrap w:val="0"/>
              <w:autoSpaceDN w:val="0"/>
              <w:spacing w:line="375" w:lineRule="atLeast"/>
              <w:jc w:val="left"/>
              <w:rPr>
                <w:rFonts w:hint="eastAsia"/>
                <w:sz w:val="24"/>
              </w:rPr>
            </w:pPr>
            <w:r>
              <w:rPr>
                <w:rFonts w:hint="eastAsia"/>
                <w:sz w:val="24"/>
              </w:rPr>
              <w:t>新余</w:t>
            </w:r>
          </w:p>
        </w:tc>
        <w:tc>
          <w:tcPr>
            <w:tcW w:w="882" w:type="dxa"/>
            <w:noWrap w:val="0"/>
            <w:vAlign w:val="top"/>
          </w:tcPr>
          <w:p>
            <w:pPr>
              <w:wordWrap w:val="0"/>
              <w:autoSpaceDN w:val="0"/>
              <w:spacing w:line="375" w:lineRule="atLeast"/>
              <w:jc w:val="left"/>
              <w:rPr>
                <w:rFonts w:hint="eastAsia"/>
                <w:sz w:val="24"/>
              </w:rPr>
            </w:pPr>
            <w:r>
              <w:rPr>
                <w:rFonts w:hint="eastAsia"/>
                <w:sz w:val="24"/>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82" w:type="dxa"/>
            <w:noWrap w:val="0"/>
            <w:vAlign w:val="top"/>
          </w:tcPr>
          <w:p>
            <w:pPr>
              <w:wordWrap w:val="0"/>
              <w:autoSpaceDN w:val="0"/>
              <w:spacing w:line="375" w:lineRule="atLeast"/>
              <w:jc w:val="left"/>
              <w:rPr>
                <w:rFonts w:hint="eastAsia"/>
                <w:sz w:val="24"/>
              </w:rPr>
            </w:pPr>
            <w:r>
              <w:rPr>
                <w:rFonts w:hint="eastAsia"/>
                <w:sz w:val="24"/>
              </w:rPr>
              <w:t>2007</w:t>
            </w:r>
          </w:p>
        </w:tc>
        <w:tc>
          <w:tcPr>
            <w:tcW w:w="882" w:type="dxa"/>
            <w:noWrap w:val="0"/>
            <w:vAlign w:val="top"/>
          </w:tcPr>
          <w:p>
            <w:pPr>
              <w:wordWrap w:val="0"/>
              <w:autoSpaceDN w:val="0"/>
              <w:spacing w:line="375" w:lineRule="atLeast"/>
              <w:jc w:val="left"/>
              <w:rPr>
                <w:rFonts w:hint="eastAsia"/>
                <w:sz w:val="24"/>
              </w:rPr>
            </w:pPr>
            <w:r>
              <w:rPr>
                <w:rFonts w:hint="eastAsia"/>
              </w:rPr>
              <w:t xml:space="preserve"> 40</w:t>
            </w:r>
          </w:p>
        </w:tc>
        <w:tc>
          <w:tcPr>
            <w:tcW w:w="882" w:type="dxa"/>
            <w:noWrap w:val="0"/>
            <w:vAlign w:val="top"/>
          </w:tcPr>
          <w:p>
            <w:pPr>
              <w:wordWrap w:val="0"/>
              <w:autoSpaceDN w:val="0"/>
              <w:spacing w:line="375" w:lineRule="atLeast"/>
              <w:jc w:val="left"/>
              <w:rPr>
                <w:rFonts w:hint="eastAsia"/>
                <w:sz w:val="24"/>
              </w:rPr>
            </w:pPr>
            <w:r>
              <w:rPr>
                <w:rFonts w:hint="eastAsia"/>
              </w:rPr>
              <w:t>278.12</w:t>
            </w:r>
          </w:p>
        </w:tc>
        <w:tc>
          <w:tcPr>
            <w:tcW w:w="935" w:type="dxa"/>
            <w:noWrap w:val="0"/>
            <w:vAlign w:val="top"/>
          </w:tcPr>
          <w:p>
            <w:pPr>
              <w:spacing w:line="220" w:lineRule="atLeast"/>
              <w:rPr>
                <w:rFonts w:hint="eastAsia"/>
                <w:szCs w:val="21"/>
              </w:rPr>
            </w:pPr>
            <w:r>
              <w:rPr>
                <w:rFonts w:hint="eastAsia"/>
                <w:szCs w:val="21"/>
              </w:rPr>
              <w:t>14.39%</w:t>
            </w:r>
          </w:p>
        </w:tc>
        <w:tc>
          <w:tcPr>
            <w:tcW w:w="828" w:type="dxa"/>
            <w:noWrap w:val="0"/>
            <w:vAlign w:val="top"/>
          </w:tcPr>
          <w:p>
            <w:pPr>
              <w:wordWrap w:val="0"/>
              <w:autoSpaceDN w:val="0"/>
              <w:spacing w:line="375" w:lineRule="atLeast"/>
              <w:jc w:val="left"/>
              <w:rPr>
                <w:rFonts w:hint="eastAsia"/>
                <w:sz w:val="24"/>
              </w:rPr>
            </w:pPr>
            <w:r>
              <w:rPr>
                <w:rFonts w:hint="eastAsia"/>
              </w:rPr>
              <w:t xml:space="preserve"> 0.37</w:t>
            </w:r>
          </w:p>
        </w:tc>
        <w:tc>
          <w:tcPr>
            <w:tcW w:w="881" w:type="dxa"/>
            <w:noWrap w:val="0"/>
            <w:vAlign w:val="top"/>
          </w:tcPr>
          <w:p>
            <w:pPr>
              <w:wordWrap w:val="0"/>
              <w:autoSpaceDN w:val="0"/>
              <w:spacing w:line="375" w:lineRule="atLeast"/>
              <w:jc w:val="left"/>
              <w:rPr>
                <w:rFonts w:hint="eastAsia"/>
                <w:sz w:val="24"/>
              </w:rPr>
            </w:pPr>
            <w:r>
              <w:rPr>
                <w:rFonts w:hint="eastAsia"/>
              </w:rPr>
              <w:t>41.56</w:t>
            </w:r>
          </w:p>
        </w:tc>
        <w:tc>
          <w:tcPr>
            <w:tcW w:w="883" w:type="dxa"/>
            <w:noWrap w:val="0"/>
            <w:vAlign w:val="top"/>
          </w:tcPr>
          <w:p>
            <w:pPr>
              <w:spacing w:line="220" w:lineRule="atLeast"/>
              <w:rPr>
                <w:rFonts w:hint="eastAsia"/>
                <w:sz w:val="24"/>
              </w:rPr>
            </w:pPr>
            <w:r>
              <w:rPr>
                <w:rFonts w:hint="eastAsia"/>
              </w:rPr>
              <w:t>0.89%</w:t>
            </w:r>
          </w:p>
        </w:tc>
        <w:tc>
          <w:tcPr>
            <w:tcW w:w="882" w:type="dxa"/>
            <w:noWrap w:val="0"/>
            <w:vAlign w:val="top"/>
          </w:tcPr>
          <w:p>
            <w:pPr>
              <w:spacing w:line="220" w:lineRule="atLeast"/>
              <w:jc w:val="center"/>
              <w:rPr>
                <w:rFonts w:hint="eastAsia"/>
                <w:sz w:val="24"/>
              </w:rPr>
            </w:pPr>
            <w:r>
              <w:rPr>
                <w:rFonts w:hint="eastAsia"/>
              </w:rPr>
              <w:t xml:space="preserve"> 3</w:t>
            </w:r>
          </w:p>
        </w:tc>
        <w:tc>
          <w:tcPr>
            <w:tcW w:w="883" w:type="dxa"/>
            <w:noWrap w:val="0"/>
            <w:vAlign w:val="top"/>
          </w:tcPr>
          <w:p>
            <w:pPr>
              <w:wordWrap w:val="0"/>
              <w:autoSpaceDN w:val="0"/>
              <w:spacing w:line="375" w:lineRule="atLeast"/>
              <w:jc w:val="left"/>
              <w:rPr>
                <w:rFonts w:hint="eastAsia"/>
                <w:sz w:val="24"/>
              </w:rPr>
            </w:pPr>
            <w:r>
              <w:rPr>
                <w:rFonts w:hint="eastAsia"/>
              </w:rPr>
              <w:t>157</w:t>
            </w:r>
          </w:p>
        </w:tc>
        <w:tc>
          <w:tcPr>
            <w:tcW w:w="882" w:type="dxa"/>
            <w:noWrap w:val="0"/>
            <w:vAlign w:val="top"/>
          </w:tcPr>
          <w:p>
            <w:pPr>
              <w:spacing w:line="220" w:lineRule="atLeast"/>
              <w:rPr>
                <w:rFonts w:hint="eastAsia"/>
                <w:sz w:val="24"/>
              </w:rPr>
            </w:pPr>
            <w:r>
              <w:rPr>
                <w:rFonts w:hint="eastAsia"/>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82" w:type="dxa"/>
            <w:noWrap w:val="0"/>
            <w:vAlign w:val="top"/>
          </w:tcPr>
          <w:p>
            <w:pPr>
              <w:wordWrap w:val="0"/>
              <w:autoSpaceDN w:val="0"/>
              <w:spacing w:line="375" w:lineRule="atLeast"/>
              <w:jc w:val="left"/>
              <w:rPr>
                <w:rFonts w:hint="eastAsia"/>
                <w:sz w:val="24"/>
              </w:rPr>
            </w:pPr>
            <w:r>
              <w:rPr>
                <w:rFonts w:hint="eastAsia"/>
                <w:sz w:val="24"/>
              </w:rPr>
              <w:t>2008</w:t>
            </w:r>
          </w:p>
        </w:tc>
        <w:tc>
          <w:tcPr>
            <w:tcW w:w="882" w:type="dxa"/>
            <w:noWrap w:val="0"/>
            <w:vAlign w:val="top"/>
          </w:tcPr>
          <w:p>
            <w:pPr>
              <w:spacing w:line="220" w:lineRule="atLeast"/>
              <w:ind w:left="1365" w:hanging="1365" w:hangingChars="650"/>
              <w:rPr>
                <w:rFonts w:hint="eastAsia"/>
                <w:sz w:val="24"/>
              </w:rPr>
            </w:pPr>
            <w:r>
              <w:rPr>
                <w:rFonts w:hint="eastAsia"/>
              </w:rPr>
              <w:t xml:space="preserve"> 120</w:t>
            </w:r>
          </w:p>
        </w:tc>
        <w:tc>
          <w:tcPr>
            <w:tcW w:w="882" w:type="dxa"/>
            <w:noWrap w:val="0"/>
            <w:vAlign w:val="top"/>
          </w:tcPr>
          <w:p>
            <w:pPr>
              <w:wordWrap w:val="0"/>
              <w:autoSpaceDN w:val="0"/>
              <w:spacing w:line="375" w:lineRule="atLeast"/>
              <w:jc w:val="left"/>
              <w:rPr>
                <w:rFonts w:hint="eastAsia"/>
                <w:sz w:val="24"/>
              </w:rPr>
            </w:pPr>
            <w:r>
              <w:rPr>
                <w:rFonts w:hint="eastAsia"/>
              </w:rPr>
              <w:t>402.32</w:t>
            </w:r>
          </w:p>
        </w:tc>
        <w:tc>
          <w:tcPr>
            <w:tcW w:w="935" w:type="dxa"/>
            <w:noWrap w:val="0"/>
            <w:vAlign w:val="top"/>
          </w:tcPr>
          <w:p>
            <w:pPr>
              <w:spacing w:line="220" w:lineRule="atLeast"/>
              <w:rPr>
                <w:rFonts w:hint="eastAsia"/>
                <w:szCs w:val="21"/>
              </w:rPr>
            </w:pPr>
            <w:r>
              <w:rPr>
                <w:rFonts w:hint="eastAsia"/>
                <w:szCs w:val="21"/>
              </w:rPr>
              <w:t>29.85%</w:t>
            </w:r>
          </w:p>
        </w:tc>
        <w:tc>
          <w:tcPr>
            <w:tcW w:w="828" w:type="dxa"/>
            <w:noWrap w:val="0"/>
            <w:vAlign w:val="top"/>
          </w:tcPr>
          <w:p>
            <w:pPr>
              <w:wordWrap w:val="0"/>
              <w:autoSpaceDN w:val="0"/>
              <w:spacing w:line="375" w:lineRule="atLeast"/>
              <w:jc w:val="center"/>
              <w:rPr>
                <w:rFonts w:hint="eastAsia"/>
                <w:sz w:val="24"/>
              </w:rPr>
            </w:pPr>
            <w:r>
              <w:rPr>
                <w:rFonts w:hint="eastAsia"/>
              </w:rPr>
              <w:t>2.8</w:t>
            </w:r>
          </w:p>
        </w:tc>
        <w:tc>
          <w:tcPr>
            <w:tcW w:w="881" w:type="dxa"/>
            <w:noWrap w:val="0"/>
            <w:vAlign w:val="top"/>
          </w:tcPr>
          <w:p>
            <w:pPr>
              <w:wordWrap w:val="0"/>
              <w:autoSpaceDN w:val="0"/>
              <w:spacing w:line="375" w:lineRule="atLeast"/>
              <w:jc w:val="left"/>
              <w:rPr>
                <w:rFonts w:hint="eastAsia"/>
                <w:sz w:val="24"/>
              </w:rPr>
            </w:pPr>
            <w:r>
              <w:rPr>
                <w:rFonts w:hint="eastAsia"/>
              </w:rPr>
              <w:t>55.07</w:t>
            </w:r>
          </w:p>
        </w:tc>
        <w:tc>
          <w:tcPr>
            <w:tcW w:w="883" w:type="dxa"/>
            <w:noWrap w:val="0"/>
            <w:vAlign w:val="top"/>
          </w:tcPr>
          <w:p>
            <w:pPr>
              <w:spacing w:line="220" w:lineRule="atLeast"/>
              <w:rPr>
                <w:rFonts w:hint="eastAsia"/>
                <w:sz w:val="24"/>
              </w:rPr>
            </w:pPr>
            <w:r>
              <w:rPr>
                <w:rFonts w:hint="eastAsia"/>
              </w:rPr>
              <w:t>5.08%</w:t>
            </w:r>
          </w:p>
        </w:tc>
        <w:tc>
          <w:tcPr>
            <w:tcW w:w="882" w:type="dxa"/>
            <w:noWrap w:val="0"/>
            <w:vAlign w:val="top"/>
          </w:tcPr>
          <w:p>
            <w:pPr>
              <w:spacing w:line="220" w:lineRule="atLeast"/>
              <w:jc w:val="center"/>
              <w:rPr>
                <w:rFonts w:hint="eastAsia"/>
              </w:rPr>
            </w:pPr>
            <w:r>
              <w:rPr>
                <w:rFonts w:hint="eastAsia"/>
              </w:rPr>
              <w:t>39</w:t>
            </w:r>
          </w:p>
        </w:tc>
        <w:tc>
          <w:tcPr>
            <w:tcW w:w="883" w:type="dxa"/>
            <w:noWrap w:val="0"/>
            <w:vAlign w:val="top"/>
          </w:tcPr>
          <w:p>
            <w:pPr>
              <w:wordWrap w:val="0"/>
              <w:autoSpaceDN w:val="0"/>
              <w:spacing w:line="375" w:lineRule="atLeast"/>
              <w:jc w:val="left"/>
              <w:rPr>
                <w:rFonts w:hint="eastAsia"/>
                <w:sz w:val="24"/>
              </w:rPr>
            </w:pPr>
            <w:r>
              <w:rPr>
                <w:rFonts w:hint="eastAsia"/>
              </w:rPr>
              <w:t>353.6</w:t>
            </w:r>
          </w:p>
        </w:tc>
        <w:tc>
          <w:tcPr>
            <w:tcW w:w="882" w:type="dxa"/>
            <w:noWrap w:val="0"/>
            <w:vAlign w:val="top"/>
          </w:tcPr>
          <w:p>
            <w:pPr>
              <w:spacing w:line="220" w:lineRule="atLeast"/>
              <w:rPr>
                <w:rFonts w:hint="eastAsia"/>
                <w:sz w:val="24"/>
              </w:rPr>
            </w:pPr>
            <w:r>
              <w:rPr>
                <w:rFonts w:hint="eastAsia"/>
              </w:rPr>
              <w:t>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82" w:type="dxa"/>
            <w:noWrap w:val="0"/>
            <w:vAlign w:val="top"/>
          </w:tcPr>
          <w:p>
            <w:pPr>
              <w:wordWrap w:val="0"/>
              <w:autoSpaceDN w:val="0"/>
              <w:spacing w:line="375" w:lineRule="atLeast"/>
              <w:jc w:val="left"/>
              <w:rPr>
                <w:rFonts w:hint="eastAsia"/>
                <w:sz w:val="24"/>
              </w:rPr>
            </w:pPr>
            <w:r>
              <w:rPr>
                <w:rFonts w:hint="eastAsia"/>
                <w:sz w:val="24"/>
              </w:rPr>
              <w:t>2009</w:t>
            </w:r>
          </w:p>
        </w:tc>
        <w:tc>
          <w:tcPr>
            <w:tcW w:w="882" w:type="dxa"/>
            <w:noWrap w:val="0"/>
            <w:vAlign w:val="top"/>
          </w:tcPr>
          <w:p>
            <w:pPr>
              <w:spacing w:line="220" w:lineRule="atLeast"/>
              <w:rPr>
                <w:rFonts w:hint="eastAsia"/>
                <w:sz w:val="24"/>
              </w:rPr>
            </w:pPr>
            <w:r>
              <w:rPr>
                <w:rFonts w:hint="eastAsia"/>
              </w:rPr>
              <w:t>76.86</w:t>
            </w:r>
          </w:p>
        </w:tc>
        <w:tc>
          <w:tcPr>
            <w:tcW w:w="882" w:type="dxa"/>
            <w:noWrap w:val="0"/>
            <w:vAlign w:val="top"/>
          </w:tcPr>
          <w:p>
            <w:pPr>
              <w:wordWrap w:val="0"/>
              <w:autoSpaceDN w:val="0"/>
              <w:spacing w:line="375" w:lineRule="atLeast"/>
              <w:jc w:val="left"/>
              <w:rPr>
                <w:rFonts w:hint="eastAsia"/>
                <w:sz w:val="24"/>
              </w:rPr>
            </w:pPr>
            <w:r>
              <w:rPr>
                <w:rFonts w:hint="eastAsia"/>
              </w:rPr>
              <w:t>484.17</w:t>
            </w:r>
          </w:p>
        </w:tc>
        <w:tc>
          <w:tcPr>
            <w:tcW w:w="935" w:type="dxa"/>
            <w:noWrap w:val="0"/>
            <w:vAlign w:val="top"/>
          </w:tcPr>
          <w:p>
            <w:pPr>
              <w:spacing w:line="220" w:lineRule="atLeast"/>
              <w:rPr>
                <w:rFonts w:hint="eastAsia"/>
                <w:szCs w:val="21"/>
              </w:rPr>
            </w:pPr>
            <w:r>
              <w:rPr>
                <w:rFonts w:hint="eastAsia"/>
                <w:szCs w:val="21"/>
              </w:rPr>
              <w:t>15.88%</w:t>
            </w:r>
          </w:p>
        </w:tc>
        <w:tc>
          <w:tcPr>
            <w:tcW w:w="828" w:type="dxa"/>
            <w:noWrap w:val="0"/>
            <w:vAlign w:val="top"/>
          </w:tcPr>
          <w:p>
            <w:pPr>
              <w:spacing w:line="220" w:lineRule="atLeast"/>
              <w:jc w:val="center"/>
              <w:rPr>
                <w:rFonts w:hint="eastAsia"/>
                <w:sz w:val="24"/>
              </w:rPr>
            </w:pPr>
            <w:r>
              <w:rPr>
                <w:rFonts w:hint="eastAsia"/>
              </w:rPr>
              <w:t>4</w:t>
            </w:r>
          </w:p>
        </w:tc>
        <w:tc>
          <w:tcPr>
            <w:tcW w:w="881" w:type="dxa"/>
            <w:noWrap w:val="0"/>
            <w:vAlign w:val="top"/>
          </w:tcPr>
          <w:p>
            <w:pPr>
              <w:spacing w:line="220" w:lineRule="atLeast"/>
              <w:ind w:firstLine="105" w:firstLineChars="50"/>
              <w:rPr>
                <w:rFonts w:hint="eastAsia"/>
                <w:sz w:val="24"/>
              </w:rPr>
            </w:pPr>
            <w:r>
              <w:rPr>
                <w:rFonts w:hint="eastAsia"/>
              </w:rPr>
              <w:t>50</w:t>
            </w:r>
          </w:p>
        </w:tc>
        <w:tc>
          <w:tcPr>
            <w:tcW w:w="883" w:type="dxa"/>
            <w:noWrap w:val="0"/>
            <w:vAlign w:val="top"/>
          </w:tcPr>
          <w:p>
            <w:pPr>
              <w:spacing w:line="220" w:lineRule="atLeast"/>
              <w:rPr>
                <w:rFonts w:hint="eastAsia"/>
                <w:sz w:val="24"/>
              </w:rPr>
            </w:pPr>
            <w:r>
              <w:rPr>
                <w:rFonts w:hint="eastAsia"/>
              </w:rPr>
              <w:t>10.8%</w:t>
            </w:r>
          </w:p>
        </w:tc>
        <w:tc>
          <w:tcPr>
            <w:tcW w:w="882" w:type="dxa"/>
            <w:noWrap w:val="0"/>
            <w:vAlign w:val="top"/>
          </w:tcPr>
          <w:p>
            <w:pPr>
              <w:wordWrap w:val="0"/>
              <w:autoSpaceDN w:val="0"/>
              <w:spacing w:line="375" w:lineRule="atLeast"/>
              <w:jc w:val="center"/>
              <w:rPr>
                <w:rFonts w:hint="eastAsia"/>
                <w:sz w:val="24"/>
              </w:rPr>
            </w:pPr>
            <w:r>
              <w:rPr>
                <w:rFonts w:hint="eastAsia"/>
              </w:rPr>
              <w:t>120</w:t>
            </w:r>
          </w:p>
        </w:tc>
        <w:tc>
          <w:tcPr>
            <w:tcW w:w="883" w:type="dxa"/>
            <w:noWrap w:val="0"/>
            <w:vAlign w:val="top"/>
          </w:tcPr>
          <w:p>
            <w:pPr>
              <w:wordWrap w:val="0"/>
              <w:autoSpaceDN w:val="0"/>
              <w:spacing w:line="375" w:lineRule="atLeast"/>
              <w:jc w:val="left"/>
              <w:rPr>
                <w:rFonts w:hint="eastAsia"/>
                <w:sz w:val="24"/>
              </w:rPr>
            </w:pPr>
            <w:r>
              <w:rPr>
                <w:rFonts w:hint="eastAsia"/>
              </w:rPr>
              <w:t>498.72</w:t>
            </w:r>
          </w:p>
        </w:tc>
        <w:tc>
          <w:tcPr>
            <w:tcW w:w="882" w:type="dxa"/>
            <w:noWrap w:val="0"/>
            <w:vAlign w:val="top"/>
          </w:tcPr>
          <w:p>
            <w:pPr>
              <w:spacing w:line="220" w:lineRule="atLeast"/>
              <w:rPr>
                <w:rFonts w:hint="eastAsia"/>
                <w:sz w:val="24"/>
              </w:rPr>
            </w:pPr>
            <w:r>
              <w:rPr>
                <w:rFonts w:hint="eastAsia"/>
              </w:rPr>
              <w:t>24.06%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82" w:type="dxa"/>
            <w:noWrap w:val="0"/>
            <w:vAlign w:val="top"/>
          </w:tcPr>
          <w:p>
            <w:pPr>
              <w:wordWrap w:val="0"/>
              <w:autoSpaceDN w:val="0"/>
              <w:spacing w:line="375" w:lineRule="atLeast"/>
              <w:jc w:val="left"/>
              <w:rPr>
                <w:rFonts w:hint="eastAsia"/>
                <w:sz w:val="24"/>
              </w:rPr>
            </w:pPr>
            <w:r>
              <w:rPr>
                <w:rFonts w:hint="eastAsia"/>
                <w:sz w:val="24"/>
              </w:rPr>
              <w:t>2010</w:t>
            </w:r>
          </w:p>
        </w:tc>
        <w:tc>
          <w:tcPr>
            <w:tcW w:w="882" w:type="dxa"/>
            <w:noWrap w:val="0"/>
            <w:vAlign w:val="top"/>
          </w:tcPr>
          <w:p>
            <w:pPr>
              <w:spacing w:line="220" w:lineRule="atLeast"/>
              <w:rPr>
                <w:rFonts w:hint="eastAsia"/>
                <w:sz w:val="24"/>
              </w:rPr>
            </w:pPr>
            <w:r>
              <w:rPr>
                <w:rFonts w:hint="eastAsia"/>
              </w:rPr>
              <w:t>132.52</w:t>
            </w:r>
          </w:p>
        </w:tc>
        <w:tc>
          <w:tcPr>
            <w:tcW w:w="882" w:type="dxa"/>
            <w:noWrap w:val="0"/>
            <w:vAlign w:val="top"/>
          </w:tcPr>
          <w:p>
            <w:pPr>
              <w:wordWrap w:val="0"/>
              <w:autoSpaceDN w:val="0"/>
              <w:spacing w:line="375" w:lineRule="atLeast"/>
              <w:jc w:val="left"/>
              <w:rPr>
                <w:rFonts w:hint="eastAsia"/>
                <w:sz w:val="24"/>
              </w:rPr>
            </w:pPr>
            <w:r>
              <w:rPr>
                <w:rFonts w:hint="eastAsia"/>
              </w:rPr>
              <w:t>631.22</w:t>
            </w:r>
          </w:p>
        </w:tc>
        <w:tc>
          <w:tcPr>
            <w:tcW w:w="935" w:type="dxa"/>
            <w:noWrap w:val="0"/>
            <w:vAlign w:val="top"/>
          </w:tcPr>
          <w:p>
            <w:pPr>
              <w:spacing w:line="220" w:lineRule="atLeast"/>
              <w:rPr>
                <w:rFonts w:hint="eastAsia"/>
                <w:szCs w:val="21"/>
              </w:rPr>
            </w:pPr>
            <w:r>
              <w:rPr>
                <w:rFonts w:hint="eastAsia"/>
                <w:szCs w:val="21"/>
              </w:rPr>
              <w:t>20.99%</w:t>
            </w:r>
          </w:p>
        </w:tc>
        <w:tc>
          <w:tcPr>
            <w:tcW w:w="828" w:type="dxa"/>
            <w:noWrap w:val="0"/>
            <w:vAlign w:val="top"/>
          </w:tcPr>
          <w:p>
            <w:pPr>
              <w:wordWrap w:val="0"/>
              <w:autoSpaceDN w:val="0"/>
              <w:spacing w:line="375" w:lineRule="atLeast"/>
              <w:jc w:val="left"/>
              <w:rPr>
                <w:rFonts w:hint="eastAsia"/>
                <w:sz w:val="24"/>
              </w:rPr>
            </w:pPr>
            <w:r>
              <w:rPr>
                <w:rFonts w:hint="eastAsia"/>
              </w:rPr>
              <w:t xml:space="preserve">  8.1</w:t>
            </w:r>
          </w:p>
        </w:tc>
        <w:tc>
          <w:tcPr>
            <w:tcW w:w="881" w:type="dxa"/>
            <w:noWrap w:val="0"/>
            <w:vAlign w:val="top"/>
          </w:tcPr>
          <w:p>
            <w:pPr>
              <w:wordWrap w:val="0"/>
              <w:autoSpaceDN w:val="0"/>
              <w:spacing w:line="375" w:lineRule="atLeast"/>
              <w:ind w:firstLine="105" w:firstLineChars="50"/>
              <w:jc w:val="left"/>
              <w:rPr>
                <w:rFonts w:hint="eastAsia"/>
                <w:sz w:val="24"/>
              </w:rPr>
            </w:pPr>
            <w:r>
              <w:rPr>
                <w:rFonts w:hint="eastAsia"/>
              </w:rPr>
              <w:t>80</w:t>
            </w:r>
          </w:p>
        </w:tc>
        <w:tc>
          <w:tcPr>
            <w:tcW w:w="883" w:type="dxa"/>
            <w:noWrap w:val="0"/>
            <w:vAlign w:val="top"/>
          </w:tcPr>
          <w:p>
            <w:pPr>
              <w:spacing w:line="220" w:lineRule="atLeast"/>
              <w:rPr>
                <w:rFonts w:hint="eastAsia"/>
                <w:sz w:val="24"/>
              </w:rPr>
            </w:pPr>
            <w:r>
              <w:rPr>
                <w:rFonts w:hint="eastAsia"/>
              </w:rPr>
              <w:t>10.13%</w:t>
            </w:r>
          </w:p>
        </w:tc>
        <w:tc>
          <w:tcPr>
            <w:tcW w:w="882" w:type="dxa"/>
            <w:noWrap w:val="0"/>
            <w:vAlign w:val="top"/>
          </w:tcPr>
          <w:p>
            <w:pPr>
              <w:wordWrap w:val="0"/>
              <w:autoSpaceDN w:val="0"/>
              <w:spacing w:line="375" w:lineRule="atLeast"/>
              <w:jc w:val="center"/>
              <w:rPr>
                <w:rFonts w:hint="eastAsia"/>
                <w:sz w:val="24"/>
              </w:rPr>
            </w:pPr>
            <w:r>
              <w:rPr>
                <w:rFonts w:hint="eastAsia"/>
              </w:rPr>
              <w:t>15</w:t>
            </w:r>
          </w:p>
        </w:tc>
        <w:tc>
          <w:tcPr>
            <w:tcW w:w="883" w:type="dxa"/>
            <w:noWrap w:val="0"/>
            <w:vAlign w:val="top"/>
          </w:tcPr>
          <w:p>
            <w:pPr>
              <w:wordWrap w:val="0"/>
              <w:autoSpaceDN w:val="0"/>
              <w:spacing w:line="375" w:lineRule="atLeast"/>
              <w:jc w:val="left"/>
              <w:rPr>
                <w:rFonts w:hint="eastAsia"/>
                <w:sz w:val="24"/>
              </w:rPr>
            </w:pPr>
            <w:r>
              <w:rPr>
                <w:rFonts w:hint="eastAsia"/>
              </w:rPr>
              <w:t>658.31</w:t>
            </w:r>
          </w:p>
        </w:tc>
        <w:tc>
          <w:tcPr>
            <w:tcW w:w="882" w:type="dxa"/>
            <w:noWrap w:val="0"/>
            <w:vAlign w:val="top"/>
          </w:tcPr>
          <w:p>
            <w:pPr>
              <w:spacing w:line="220" w:lineRule="atLeast"/>
              <w:rPr>
                <w:rFonts w:hint="eastAsia"/>
                <w:sz w:val="24"/>
              </w:rPr>
            </w:pPr>
            <w:r>
              <w:rPr>
                <w:rFonts w:hint="eastAsia"/>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82" w:type="dxa"/>
            <w:noWrap w:val="0"/>
            <w:vAlign w:val="top"/>
          </w:tcPr>
          <w:p>
            <w:pPr>
              <w:wordWrap w:val="0"/>
              <w:autoSpaceDN w:val="0"/>
              <w:spacing w:line="375" w:lineRule="atLeast"/>
              <w:jc w:val="left"/>
              <w:rPr>
                <w:rFonts w:hint="eastAsia"/>
                <w:sz w:val="24"/>
              </w:rPr>
            </w:pPr>
            <w:r>
              <w:rPr>
                <w:rFonts w:hint="eastAsia"/>
                <w:sz w:val="24"/>
              </w:rPr>
              <w:t>2011</w:t>
            </w:r>
          </w:p>
        </w:tc>
        <w:tc>
          <w:tcPr>
            <w:tcW w:w="882" w:type="dxa"/>
            <w:noWrap w:val="0"/>
            <w:vAlign w:val="top"/>
          </w:tcPr>
          <w:p>
            <w:pPr>
              <w:spacing w:line="220" w:lineRule="atLeast"/>
              <w:rPr>
                <w:rFonts w:hint="eastAsia"/>
                <w:sz w:val="24"/>
              </w:rPr>
            </w:pPr>
            <w:r>
              <w:rPr>
                <w:rFonts w:hint="eastAsia"/>
              </w:rPr>
              <w:t xml:space="preserve">  84</w:t>
            </w:r>
          </w:p>
        </w:tc>
        <w:tc>
          <w:tcPr>
            <w:tcW w:w="882" w:type="dxa"/>
            <w:noWrap w:val="0"/>
            <w:vAlign w:val="top"/>
          </w:tcPr>
          <w:p>
            <w:pPr>
              <w:wordWrap w:val="0"/>
              <w:autoSpaceDN w:val="0"/>
              <w:spacing w:line="375" w:lineRule="atLeast"/>
              <w:jc w:val="left"/>
              <w:rPr>
                <w:rFonts w:hint="eastAsia"/>
                <w:sz w:val="24"/>
              </w:rPr>
            </w:pPr>
            <w:r>
              <w:rPr>
                <w:rFonts w:hint="eastAsia"/>
              </w:rPr>
              <w:t>779.21</w:t>
            </w:r>
          </w:p>
        </w:tc>
        <w:tc>
          <w:tcPr>
            <w:tcW w:w="935" w:type="dxa"/>
            <w:noWrap w:val="0"/>
            <w:vAlign w:val="top"/>
          </w:tcPr>
          <w:p>
            <w:pPr>
              <w:spacing w:line="220" w:lineRule="atLeast"/>
              <w:rPr>
                <w:rFonts w:hint="eastAsia"/>
                <w:szCs w:val="21"/>
              </w:rPr>
            </w:pPr>
            <w:r>
              <w:rPr>
                <w:rFonts w:hint="eastAsia"/>
                <w:szCs w:val="21"/>
              </w:rPr>
              <w:t>10.78%</w:t>
            </w:r>
          </w:p>
        </w:tc>
        <w:tc>
          <w:tcPr>
            <w:tcW w:w="828" w:type="dxa"/>
            <w:noWrap w:val="0"/>
            <w:vAlign w:val="top"/>
          </w:tcPr>
          <w:p>
            <w:pPr>
              <w:wordWrap w:val="0"/>
              <w:autoSpaceDN w:val="0"/>
              <w:spacing w:line="375" w:lineRule="atLeast"/>
              <w:ind w:firstLine="105" w:firstLineChars="50"/>
              <w:jc w:val="left"/>
              <w:rPr>
                <w:rFonts w:hint="eastAsia"/>
                <w:sz w:val="24"/>
              </w:rPr>
            </w:pPr>
            <w:r>
              <w:rPr>
                <w:rFonts w:hint="eastAsia"/>
              </w:rPr>
              <w:t>13.6</w:t>
            </w:r>
          </w:p>
        </w:tc>
        <w:tc>
          <w:tcPr>
            <w:tcW w:w="881" w:type="dxa"/>
            <w:noWrap w:val="0"/>
            <w:vAlign w:val="top"/>
          </w:tcPr>
          <w:p>
            <w:pPr>
              <w:wordWrap w:val="0"/>
              <w:autoSpaceDN w:val="0"/>
              <w:spacing w:line="375" w:lineRule="atLeast"/>
              <w:ind w:firstLine="105" w:firstLineChars="50"/>
              <w:jc w:val="left"/>
              <w:rPr>
                <w:rFonts w:hint="eastAsia"/>
                <w:sz w:val="24"/>
              </w:rPr>
            </w:pPr>
            <w:r>
              <w:rPr>
                <w:rFonts w:hint="eastAsia"/>
              </w:rPr>
              <w:t>111.3</w:t>
            </w:r>
          </w:p>
        </w:tc>
        <w:tc>
          <w:tcPr>
            <w:tcW w:w="883" w:type="dxa"/>
            <w:noWrap w:val="0"/>
            <w:vAlign w:val="top"/>
          </w:tcPr>
          <w:p>
            <w:pPr>
              <w:spacing w:line="220" w:lineRule="atLeast"/>
              <w:rPr>
                <w:rFonts w:hint="eastAsia"/>
                <w:sz w:val="24"/>
              </w:rPr>
            </w:pPr>
            <w:r>
              <w:rPr>
                <w:rFonts w:hint="eastAsia"/>
              </w:rPr>
              <w:t>12.22%</w:t>
            </w:r>
          </w:p>
        </w:tc>
        <w:tc>
          <w:tcPr>
            <w:tcW w:w="882" w:type="dxa"/>
            <w:noWrap w:val="0"/>
            <w:vAlign w:val="top"/>
          </w:tcPr>
          <w:p>
            <w:pPr>
              <w:wordWrap w:val="0"/>
              <w:autoSpaceDN w:val="0"/>
              <w:spacing w:line="375" w:lineRule="atLeast"/>
              <w:jc w:val="center"/>
              <w:rPr>
                <w:rFonts w:hint="eastAsia"/>
                <w:sz w:val="24"/>
              </w:rPr>
            </w:pPr>
            <w:r>
              <w:rPr>
                <w:rFonts w:hint="eastAsia"/>
              </w:rPr>
              <w:t>6</w:t>
            </w:r>
          </w:p>
        </w:tc>
        <w:tc>
          <w:tcPr>
            <w:tcW w:w="883" w:type="dxa"/>
            <w:noWrap w:val="0"/>
            <w:vAlign w:val="top"/>
          </w:tcPr>
          <w:p>
            <w:pPr>
              <w:wordWrap w:val="0"/>
              <w:autoSpaceDN w:val="0"/>
              <w:spacing w:line="375" w:lineRule="atLeast"/>
              <w:jc w:val="left"/>
              <w:rPr>
                <w:rFonts w:hint="eastAsia"/>
                <w:sz w:val="24"/>
              </w:rPr>
            </w:pPr>
            <w:r>
              <w:rPr>
                <w:rFonts w:hint="eastAsia"/>
              </w:rPr>
              <w:t>626.4</w:t>
            </w:r>
          </w:p>
        </w:tc>
        <w:tc>
          <w:tcPr>
            <w:tcW w:w="882" w:type="dxa"/>
            <w:noWrap w:val="0"/>
            <w:vAlign w:val="top"/>
          </w:tcPr>
          <w:p>
            <w:pPr>
              <w:spacing w:line="220" w:lineRule="atLeast"/>
              <w:rPr>
                <w:rFonts w:hint="eastAsia"/>
                <w:sz w:val="24"/>
              </w:rPr>
            </w:pPr>
            <w:r>
              <w:rPr>
                <w:rFonts w:hint="eastAsia"/>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82" w:type="dxa"/>
            <w:noWrap w:val="0"/>
            <w:vAlign w:val="top"/>
          </w:tcPr>
          <w:p>
            <w:pPr>
              <w:wordWrap w:val="0"/>
              <w:autoSpaceDN w:val="0"/>
              <w:spacing w:line="375" w:lineRule="atLeast"/>
              <w:jc w:val="left"/>
              <w:rPr>
                <w:rFonts w:hint="eastAsia"/>
                <w:sz w:val="24"/>
              </w:rPr>
            </w:pPr>
            <w:r>
              <w:rPr>
                <w:rFonts w:hint="eastAsia"/>
                <w:sz w:val="24"/>
              </w:rPr>
              <w:t>2012</w:t>
            </w:r>
          </w:p>
        </w:tc>
        <w:tc>
          <w:tcPr>
            <w:tcW w:w="882" w:type="dxa"/>
            <w:noWrap w:val="0"/>
            <w:vAlign w:val="top"/>
          </w:tcPr>
          <w:p>
            <w:pPr>
              <w:wordWrap w:val="0"/>
              <w:autoSpaceDN w:val="0"/>
              <w:spacing w:line="375" w:lineRule="atLeast"/>
              <w:jc w:val="left"/>
              <w:rPr>
                <w:rFonts w:hint="eastAsia"/>
                <w:sz w:val="24"/>
              </w:rPr>
            </w:pPr>
            <w:r>
              <w:rPr>
                <w:rFonts w:hint="eastAsia"/>
              </w:rPr>
              <w:t xml:space="preserve"> 60.40</w:t>
            </w:r>
          </w:p>
        </w:tc>
        <w:tc>
          <w:tcPr>
            <w:tcW w:w="882" w:type="dxa"/>
            <w:noWrap w:val="0"/>
            <w:vAlign w:val="top"/>
          </w:tcPr>
          <w:p>
            <w:pPr>
              <w:wordWrap w:val="0"/>
              <w:autoSpaceDN w:val="0"/>
              <w:spacing w:line="375" w:lineRule="atLeast"/>
              <w:jc w:val="left"/>
              <w:rPr>
                <w:rFonts w:hint="eastAsia"/>
                <w:sz w:val="24"/>
              </w:rPr>
            </w:pPr>
            <w:r>
              <w:rPr>
                <w:rFonts w:hint="eastAsia"/>
              </w:rPr>
              <w:t>830.32</w:t>
            </w:r>
          </w:p>
        </w:tc>
        <w:tc>
          <w:tcPr>
            <w:tcW w:w="935" w:type="dxa"/>
            <w:noWrap w:val="0"/>
            <w:vAlign w:val="top"/>
          </w:tcPr>
          <w:p>
            <w:pPr>
              <w:spacing w:line="220" w:lineRule="atLeast"/>
              <w:rPr>
                <w:rFonts w:hint="eastAsia"/>
                <w:szCs w:val="21"/>
              </w:rPr>
            </w:pPr>
            <w:r>
              <w:rPr>
                <w:rFonts w:hint="eastAsia"/>
                <w:szCs w:val="21"/>
              </w:rPr>
              <w:t>7.27%</w:t>
            </w:r>
          </w:p>
        </w:tc>
        <w:tc>
          <w:tcPr>
            <w:tcW w:w="828" w:type="dxa"/>
            <w:noWrap w:val="0"/>
            <w:vAlign w:val="top"/>
          </w:tcPr>
          <w:p>
            <w:pPr>
              <w:wordWrap w:val="0"/>
              <w:autoSpaceDN w:val="0"/>
              <w:spacing w:line="375" w:lineRule="atLeast"/>
              <w:jc w:val="left"/>
              <w:rPr>
                <w:rFonts w:hint="eastAsia"/>
                <w:sz w:val="24"/>
              </w:rPr>
            </w:pPr>
            <w:r>
              <w:rPr>
                <w:rFonts w:hint="eastAsia"/>
              </w:rPr>
              <w:t xml:space="preserve">  2.3</w:t>
            </w:r>
          </w:p>
        </w:tc>
        <w:tc>
          <w:tcPr>
            <w:tcW w:w="881" w:type="dxa"/>
            <w:noWrap w:val="0"/>
            <w:vAlign w:val="top"/>
          </w:tcPr>
          <w:p>
            <w:pPr>
              <w:wordWrap w:val="0"/>
              <w:autoSpaceDN w:val="0"/>
              <w:spacing w:line="375" w:lineRule="atLeast"/>
              <w:ind w:firstLine="105" w:firstLineChars="50"/>
              <w:jc w:val="left"/>
              <w:rPr>
                <w:rFonts w:hint="eastAsia"/>
                <w:sz w:val="24"/>
              </w:rPr>
            </w:pPr>
            <w:r>
              <w:rPr>
                <w:rFonts w:hint="eastAsia"/>
              </w:rPr>
              <w:t>117</w:t>
            </w:r>
          </w:p>
        </w:tc>
        <w:tc>
          <w:tcPr>
            <w:tcW w:w="883" w:type="dxa"/>
            <w:noWrap w:val="0"/>
            <w:vAlign w:val="top"/>
          </w:tcPr>
          <w:p>
            <w:pPr>
              <w:spacing w:line="220" w:lineRule="atLeast"/>
              <w:rPr>
                <w:rFonts w:hint="eastAsia"/>
                <w:sz w:val="24"/>
              </w:rPr>
            </w:pPr>
            <w:r>
              <w:rPr>
                <w:rFonts w:hint="eastAsia"/>
              </w:rPr>
              <w:t>1.97%</w:t>
            </w:r>
          </w:p>
        </w:tc>
        <w:tc>
          <w:tcPr>
            <w:tcW w:w="882" w:type="dxa"/>
            <w:noWrap w:val="0"/>
            <w:vAlign w:val="top"/>
          </w:tcPr>
          <w:p>
            <w:pPr>
              <w:wordWrap w:val="0"/>
              <w:autoSpaceDN w:val="0"/>
              <w:spacing w:line="375" w:lineRule="atLeast"/>
              <w:jc w:val="center"/>
              <w:rPr>
                <w:rFonts w:hint="eastAsia"/>
                <w:sz w:val="24"/>
              </w:rPr>
            </w:pPr>
            <w:r>
              <w:rPr>
                <w:rFonts w:hint="eastAsia"/>
              </w:rPr>
              <w:t xml:space="preserve"> 0.9</w:t>
            </w:r>
          </w:p>
        </w:tc>
        <w:tc>
          <w:tcPr>
            <w:tcW w:w="883" w:type="dxa"/>
            <w:noWrap w:val="0"/>
            <w:vAlign w:val="top"/>
          </w:tcPr>
          <w:p>
            <w:pPr>
              <w:wordWrap w:val="0"/>
              <w:autoSpaceDN w:val="0"/>
              <w:spacing w:line="375" w:lineRule="atLeast"/>
              <w:jc w:val="left"/>
              <w:rPr>
                <w:rFonts w:hint="eastAsia"/>
                <w:sz w:val="24"/>
              </w:rPr>
            </w:pPr>
            <w:r>
              <w:rPr>
                <w:rFonts w:hint="eastAsia"/>
              </w:rPr>
              <w:t>755.3</w:t>
            </w:r>
          </w:p>
        </w:tc>
        <w:tc>
          <w:tcPr>
            <w:tcW w:w="882" w:type="dxa"/>
            <w:noWrap w:val="0"/>
            <w:vAlign w:val="top"/>
          </w:tcPr>
          <w:p>
            <w:pPr>
              <w:spacing w:line="220" w:lineRule="atLeast"/>
              <w:rPr>
                <w:rFonts w:hint="eastAsia"/>
                <w:sz w:val="24"/>
              </w:rPr>
            </w:pPr>
            <w:r>
              <w:rPr>
                <w:rFonts w:hint="eastAsia"/>
              </w:rPr>
              <w:t>0.12%</w:t>
            </w:r>
          </w:p>
        </w:tc>
      </w:tr>
    </w:tbl>
    <w:p>
      <w:pPr>
        <w:wordWrap w:val="0"/>
        <w:autoSpaceDN w:val="0"/>
        <w:spacing w:line="375" w:lineRule="atLeast"/>
        <w:ind w:firstLine="422" w:firstLineChars="200"/>
        <w:jc w:val="left"/>
        <w:rPr>
          <w:rFonts w:hint="eastAsia" w:ascii="Arial" w:hAnsi="宋体"/>
          <w:color w:val="000000"/>
          <w:szCs w:val="21"/>
        </w:rPr>
      </w:pPr>
      <w:r>
        <w:rPr>
          <w:rFonts w:hint="eastAsia" w:ascii="Arial" w:hAnsi="宋体"/>
          <w:b/>
          <w:bCs/>
          <w:color w:val="000000"/>
          <w:szCs w:val="21"/>
        </w:rPr>
        <w:t>资料来源</w:t>
      </w:r>
      <w:r>
        <w:rPr>
          <w:rFonts w:hint="eastAsia" w:ascii="Arial" w:hAnsi="宋体"/>
          <w:color w:val="000000"/>
          <w:szCs w:val="21"/>
        </w:rPr>
        <w:t>：新余历年统计公报与赛维LDK科技股份有限公司上市年报。</w:t>
      </w:r>
    </w:p>
    <w:p>
      <w:pPr>
        <w:pStyle w:val="7"/>
        <w:spacing w:line="375" w:lineRule="atLeast"/>
        <w:ind w:firstLine="480"/>
        <w:jc w:val="left"/>
        <w:rPr>
          <w:rFonts w:hint="eastAsia" w:ascii="Arial" w:hAnsi="宋体"/>
          <w:color w:val="000000"/>
          <w:sz w:val="24"/>
          <w:szCs w:val="28"/>
        </w:rPr>
      </w:pPr>
      <w:r>
        <w:rPr>
          <w:rFonts w:hint="eastAsia" w:ascii="Arial" w:hAnsi="宋体"/>
          <w:color w:val="000000"/>
          <w:sz w:val="24"/>
          <w:szCs w:val="28"/>
        </w:rPr>
        <w:t>以上数据反映的是赛维LDK对于新余市的直接经济贡献，赛维所带来的间接经济辐射影响同样重大。就经济地位而言，其在新余经济规划中扮演着异常重要的角色，可以说赛维承载了新余未来经济转型和升级的希望。</w:t>
      </w:r>
      <w:r>
        <w:rPr>
          <w:rFonts w:hint="eastAsia" w:ascii="宋体" w:hAnsi="宋体" w:cs="宋体"/>
          <w:color w:val="000000"/>
          <w:kern w:val="0"/>
          <w:sz w:val="24"/>
          <w:szCs w:val="24"/>
        </w:rPr>
        <w:t>赛维的高速成长与新余经济社会发展相得益彰，新余市以赛维LDK为核心，全市光伏企业快速集聚，新余市“一钢独大”的产业格局得到根本性扭转，一跃成为江西经济发展最快的城市。</w:t>
      </w:r>
    </w:p>
    <w:p>
      <w:pPr>
        <w:wordWrap w:val="0"/>
        <w:autoSpaceDN w:val="0"/>
        <w:spacing w:line="375" w:lineRule="atLeast"/>
        <w:ind w:left="567"/>
        <w:jc w:val="left"/>
        <w:rPr>
          <w:rFonts w:hint="eastAsia" w:ascii="Arial" w:hAnsi="宋体"/>
          <w:b/>
          <w:color w:val="000000"/>
          <w:sz w:val="24"/>
          <w:szCs w:val="28"/>
        </w:rPr>
      </w:pPr>
      <w:r>
        <w:rPr>
          <w:rFonts w:hint="eastAsia" w:ascii="Arial" w:hAnsi="宋体"/>
          <w:b/>
          <w:color w:val="000000"/>
          <w:sz w:val="24"/>
          <w:szCs w:val="28"/>
        </w:rPr>
        <w:t>3.4 光伏巨头提升新余社会地位</w:t>
      </w:r>
    </w:p>
    <w:p>
      <w:pPr>
        <w:wordWrap w:val="0"/>
        <w:autoSpaceDN w:val="0"/>
        <w:spacing w:line="375" w:lineRule="atLeast"/>
        <w:ind w:left="567"/>
        <w:jc w:val="left"/>
        <w:rPr>
          <w:rFonts w:hint="eastAsia" w:ascii="宋体" w:hAnsi="宋体" w:cs="宋体"/>
          <w:b/>
          <w:color w:val="000000"/>
          <w:sz w:val="24"/>
          <w:szCs w:val="28"/>
        </w:rPr>
      </w:pPr>
      <w:r>
        <w:rPr>
          <w:rFonts w:hint="eastAsia" w:ascii="宋体" w:hAnsi="宋体" w:cs="宋体"/>
          <w:b/>
          <w:color w:val="000000"/>
          <w:sz w:val="24"/>
          <w:szCs w:val="28"/>
        </w:rPr>
        <w:t>3.4.1赛维LDK——江西第一家在美国上市企业</w:t>
      </w:r>
    </w:p>
    <w:p>
      <w:pPr>
        <w:wordWrap w:val="0"/>
        <w:autoSpaceDN w:val="0"/>
        <w:spacing w:line="375" w:lineRule="atLeast"/>
        <w:ind w:firstLine="480" w:firstLineChars="200"/>
        <w:jc w:val="left"/>
        <w:rPr>
          <w:rFonts w:hint="eastAsia" w:ascii="Arial" w:hAnsi="宋体"/>
          <w:color w:val="000000"/>
          <w:sz w:val="24"/>
          <w:szCs w:val="28"/>
        </w:rPr>
      </w:pPr>
      <w:r>
        <w:rPr>
          <w:rFonts w:hint="eastAsia" w:ascii="宋体" w:hAnsi="宋体" w:cs="宋体"/>
          <w:color w:val="000000"/>
          <w:sz w:val="24"/>
          <w:szCs w:val="28"/>
        </w:rPr>
        <w:t>2007年6月6日对于赛维来说具有里程碑意义。江西赛维LDK太阳能科技有限公司在美国纽约证交所上市，这是中国新能源领域最大的一次IPO，也是中国企业在美国单一发行量最大的一次IPO，赛维还是江西省内第一家在美国上市的企业。</w:t>
      </w:r>
      <w:r>
        <w:rPr>
          <w:rFonts w:hint="eastAsia" w:ascii="Arial" w:hAnsi="宋体"/>
          <w:color w:val="000000"/>
          <w:sz w:val="24"/>
          <w:szCs w:val="28"/>
        </w:rPr>
        <w:t>赛维LDK在美国上市时，江西省省长吴新雄、新余市市委书记汪德和和赛维创始人彭小峰一起前往纽约见证开盘，赛维LDK在江西省和新余市的社会影响力可见一斑。</w:t>
      </w:r>
    </w:p>
    <w:p>
      <w:pPr>
        <w:wordWrap w:val="0"/>
        <w:autoSpaceDN w:val="0"/>
        <w:spacing w:line="375" w:lineRule="atLeast"/>
        <w:ind w:firstLine="480" w:firstLineChars="200"/>
        <w:rPr>
          <w:rFonts w:ascii="Arial" w:hAnsi="宋体"/>
          <w:color w:val="000000"/>
          <w:sz w:val="24"/>
          <w:szCs w:val="28"/>
        </w:rPr>
      </w:pPr>
      <w:r>
        <w:rPr>
          <w:rFonts w:hint="eastAsia" w:ascii="Arial" w:hAnsi="宋体"/>
          <w:color w:val="000000"/>
          <w:sz w:val="24"/>
          <w:szCs w:val="28"/>
        </w:rPr>
        <w:t>紧接着在2007年</w:t>
      </w:r>
      <w:r>
        <w:rPr>
          <w:rFonts w:ascii="Arial" w:hAnsi="宋体"/>
          <w:color w:val="000000"/>
          <w:sz w:val="24"/>
          <w:szCs w:val="28"/>
        </w:rPr>
        <w:t>8月18日，江西赛维LDK上市庆典暨</w:t>
      </w:r>
      <w:r>
        <w:rPr>
          <w:rFonts w:hint="eastAsia" w:ascii="Arial" w:hAnsi="宋体"/>
          <w:color w:val="000000"/>
          <w:sz w:val="24"/>
          <w:szCs w:val="28"/>
        </w:rPr>
        <w:t>1.5</w:t>
      </w:r>
      <w:r>
        <w:rPr>
          <w:rFonts w:ascii="Arial" w:hAnsi="宋体"/>
          <w:color w:val="000000"/>
          <w:sz w:val="24"/>
          <w:szCs w:val="28"/>
        </w:rPr>
        <w:t>万吨硅料项目启动仪式记者招待会在春龙大酒店御花苑举行。</w:t>
      </w:r>
      <w:r>
        <w:rPr>
          <w:rFonts w:hint="eastAsia" w:ascii="Arial" w:hAnsi="宋体"/>
          <w:color w:val="000000"/>
          <w:sz w:val="24"/>
          <w:szCs w:val="28"/>
        </w:rPr>
        <w:t>新余市政要几乎全部到场，时任</w:t>
      </w:r>
      <w:r>
        <w:rPr>
          <w:rFonts w:ascii="Arial" w:hAnsi="宋体"/>
          <w:color w:val="000000"/>
          <w:sz w:val="24"/>
          <w:szCs w:val="28"/>
        </w:rPr>
        <w:t>新余市委书记汪德和出席并致辞，市委常委、副市长吴建华，市委常委、秘书长张荣生出席招待会，市委常委、宣传部部长廖兰芳主持招待会。</w:t>
      </w:r>
      <w:r>
        <w:rPr>
          <w:rFonts w:hint="eastAsia" w:ascii="Arial" w:hAnsi="宋体"/>
          <w:color w:val="000000"/>
          <w:sz w:val="24"/>
          <w:szCs w:val="28"/>
        </w:rPr>
        <w:t>汪在贺辞中说，</w:t>
      </w:r>
      <w:r>
        <w:rPr>
          <w:rFonts w:ascii="Arial" w:hAnsi="宋体"/>
          <w:color w:val="000000"/>
          <w:sz w:val="24"/>
          <w:szCs w:val="28"/>
        </w:rPr>
        <w:t>新余是江西省最小的一个设区市，但又是</w:t>
      </w:r>
      <w:r>
        <w:rPr>
          <w:rFonts w:hint="eastAsia" w:ascii="Arial" w:hAnsi="宋体"/>
          <w:color w:val="000000"/>
          <w:sz w:val="24"/>
          <w:szCs w:val="28"/>
        </w:rPr>
        <w:t>江西</w:t>
      </w:r>
      <w:r>
        <w:rPr>
          <w:rFonts w:ascii="Arial" w:hAnsi="宋体"/>
          <w:color w:val="000000"/>
          <w:sz w:val="24"/>
          <w:szCs w:val="28"/>
        </w:rPr>
        <w:t>省工业化率和城市化率最高的城市，工业化率达49</w:t>
      </w:r>
      <w:r>
        <w:rPr>
          <w:rFonts w:hint="eastAsia" w:ascii="Arial" w:hAnsi="宋体"/>
          <w:color w:val="000000"/>
          <w:sz w:val="24"/>
          <w:szCs w:val="28"/>
        </w:rPr>
        <w:t>.</w:t>
      </w:r>
      <w:r>
        <w:rPr>
          <w:rFonts w:ascii="Arial" w:hAnsi="宋体"/>
          <w:color w:val="000000"/>
          <w:sz w:val="24"/>
          <w:szCs w:val="28"/>
        </w:rPr>
        <w:t>6％，现已形成以钢铁、太阳能光伏、新材料、电力四大支柱产业为主体，机械、化工、纺织、医药、建材等门类齐全的工业体系。</w:t>
      </w:r>
      <w:r>
        <w:rPr>
          <w:rFonts w:hint="eastAsia" w:ascii="Arial" w:hAnsi="宋体"/>
          <w:color w:val="000000"/>
          <w:sz w:val="24"/>
          <w:szCs w:val="28"/>
        </w:rPr>
        <w:t>“</w:t>
      </w:r>
      <w:r>
        <w:rPr>
          <w:rFonts w:ascii="Arial" w:hAnsi="宋体"/>
          <w:color w:val="000000"/>
          <w:sz w:val="24"/>
          <w:szCs w:val="28"/>
        </w:rPr>
        <w:t>江西赛维LDK是快速成长于新余市的高科技型企业的典型代表，是新余市政企合力创大业的成功典范。</w:t>
      </w:r>
      <w:r>
        <w:rPr>
          <w:rFonts w:hint="eastAsia" w:ascii="Arial" w:hAnsi="宋体"/>
          <w:color w:val="000000"/>
          <w:sz w:val="24"/>
          <w:szCs w:val="28"/>
        </w:rPr>
        <w:t>”</w:t>
      </w:r>
    </w:p>
    <w:p>
      <w:pPr>
        <w:wordWrap w:val="0"/>
        <w:autoSpaceDN w:val="0"/>
        <w:spacing w:line="375" w:lineRule="atLeast"/>
        <w:ind w:firstLine="240" w:firstLineChars="100"/>
        <w:jc w:val="left"/>
        <w:rPr>
          <w:rFonts w:hint="eastAsia" w:ascii="Arial" w:hAnsi="宋体"/>
          <w:bCs/>
          <w:color w:val="000000"/>
          <w:sz w:val="24"/>
          <w:szCs w:val="28"/>
        </w:rPr>
      </w:pPr>
      <w:r>
        <w:rPr>
          <w:rFonts w:hint="eastAsia" w:ascii="Arial" w:hAnsi="宋体"/>
          <w:bCs/>
          <w:color w:val="000000"/>
          <w:sz w:val="24"/>
          <w:szCs w:val="28"/>
        </w:rPr>
        <w:t xml:space="preserve"> 这样一家明星企业对于新余乃至江西来说，都具有强大的社会影响。</w:t>
      </w:r>
    </w:p>
    <w:p>
      <w:pPr>
        <w:wordWrap w:val="0"/>
        <w:autoSpaceDN w:val="0"/>
        <w:spacing w:line="375" w:lineRule="atLeast"/>
        <w:ind w:firstLine="361" w:firstLineChars="150"/>
        <w:jc w:val="left"/>
        <w:rPr>
          <w:rFonts w:hint="eastAsia" w:ascii="Arial" w:hAnsi="宋体"/>
          <w:b/>
          <w:color w:val="000000"/>
          <w:sz w:val="24"/>
          <w:szCs w:val="28"/>
        </w:rPr>
      </w:pPr>
      <w:r>
        <w:rPr>
          <w:rFonts w:hint="eastAsia" w:ascii="Arial" w:hAnsi="宋体"/>
          <w:b/>
          <w:color w:val="000000"/>
          <w:sz w:val="24"/>
          <w:szCs w:val="28"/>
        </w:rPr>
        <w:t>3.4.2江西赛维——</w:t>
      </w:r>
      <w:r>
        <w:rPr>
          <w:rFonts w:hint="eastAsia" w:ascii="黑体" w:hAnsi="黑体" w:eastAsia="黑体" w:cs="黑体"/>
          <w:b/>
          <w:color w:val="000000"/>
          <w:sz w:val="24"/>
          <w:szCs w:val="28"/>
        </w:rPr>
        <w:t>一</w:t>
      </w:r>
      <w:r>
        <w:rPr>
          <w:rFonts w:hint="eastAsia" w:ascii="宋体" w:hAnsi="宋体" w:cs="宋体"/>
          <w:b/>
          <w:color w:val="000000"/>
          <w:sz w:val="24"/>
          <w:szCs w:val="28"/>
        </w:rPr>
        <w:t>度</w:t>
      </w:r>
      <w:r>
        <w:rPr>
          <w:rFonts w:hint="eastAsia" w:ascii="Arial" w:hAnsi="宋体"/>
          <w:b/>
          <w:color w:val="000000"/>
          <w:sz w:val="24"/>
          <w:szCs w:val="28"/>
        </w:rPr>
        <w:t>成为新余第一大就业安置企业</w:t>
      </w:r>
    </w:p>
    <w:p>
      <w:pPr>
        <w:wordWrap w:val="0"/>
        <w:autoSpaceDN w:val="0"/>
        <w:spacing w:line="375" w:lineRule="atLeast"/>
        <w:ind w:firstLine="480" w:firstLineChars="200"/>
        <w:jc w:val="left"/>
        <w:rPr>
          <w:rFonts w:hint="eastAsia" w:ascii="Arial" w:hAnsi="宋体"/>
          <w:color w:val="000000"/>
          <w:sz w:val="24"/>
          <w:szCs w:val="28"/>
        </w:rPr>
      </w:pPr>
      <w:r>
        <w:rPr>
          <w:rFonts w:hint="eastAsia" w:ascii="Arial" w:hAnsi="宋体"/>
          <w:color w:val="000000"/>
          <w:sz w:val="24"/>
          <w:szCs w:val="28"/>
        </w:rPr>
        <w:t>2005年全国人口普查数据显示，新余市常住人口为111.6万人，全市从业人员61.42万人，这一年正是赛维初创的年份。2007年新余市常住人口为112.58万，全市从业人员66.32万人，这一年赛维的员工规模为7500人，安置就业人口占新余全市从业人口的1.22%。2009年新余市常住人口为114.03万人，全市从业人员67.46万人，这一年赛维的员工规模为21000人，安置就业人口占新余全市从业人口的3.11%。同年新余另一支柱性企业—新余钢铁集团员工规模为25000人，到2011年，赛维的员工规模已经突破3万人，安置就业人员占新余全市从业人员的5.17%，超过新余钢铁，成为新余市安置就业人数最多的企业。</w:t>
      </w:r>
    </w:p>
    <w:p>
      <w:pPr>
        <w:wordWrap w:val="0"/>
        <w:autoSpaceDN w:val="0"/>
        <w:spacing w:line="375" w:lineRule="atLeast"/>
        <w:ind w:firstLine="480" w:firstLineChars="200"/>
        <w:jc w:val="left"/>
        <w:rPr>
          <w:rFonts w:hint="eastAsia" w:ascii="Arial" w:hAnsi="宋体"/>
          <w:color w:val="000000"/>
          <w:sz w:val="24"/>
          <w:szCs w:val="28"/>
        </w:rPr>
      </w:pPr>
    </w:p>
    <w:p>
      <w:pPr>
        <w:wordWrap w:val="0"/>
        <w:autoSpaceDN w:val="0"/>
        <w:spacing w:line="375" w:lineRule="atLeast"/>
        <w:ind w:firstLine="480" w:firstLineChars="200"/>
        <w:jc w:val="center"/>
        <w:rPr>
          <w:rFonts w:hint="eastAsia" w:ascii="Arial" w:hAnsi="宋体"/>
          <w:color w:val="000000"/>
          <w:sz w:val="24"/>
          <w:szCs w:val="28"/>
        </w:rPr>
      </w:pPr>
      <w:r>
        <w:rPr>
          <w:rFonts w:hint="eastAsia" w:ascii="Arial" w:hAnsi="宋体"/>
          <w:color w:val="000000"/>
          <w:sz w:val="24"/>
          <w:szCs w:val="28"/>
        </w:rPr>
        <w:t>表 2  赛维为新余创造的就业机会一览表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447"/>
        <w:gridCol w:w="1414"/>
        <w:gridCol w:w="1453"/>
        <w:gridCol w:w="1746"/>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96" w:type="dxa"/>
            <w:noWrap w:val="0"/>
            <w:vAlign w:val="top"/>
          </w:tcPr>
          <w:p>
            <w:pPr>
              <w:wordWrap w:val="0"/>
              <w:autoSpaceDN w:val="0"/>
              <w:spacing w:line="375" w:lineRule="atLeast"/>
              <w:jc w:val="left"/>
              <w:rPr>
                <w:rFonts w:hint="eastAsia" w:ascii="Arial" w:hAnsi="宋体"/>
                <w:color w:val="000000"/>
                <w:sz w:val="18"/>
                <w:szCs w:val="18"/>
              </w:rPr>
            </w:pPr>
            <w:r>
              <w:rPr>
                <w:rFonts w:hint="eastAsia" w:ascii="Arial" w:hAnsi="宋体"/>
                <w:color w:val="000000"/>
                <w:sz w:val="18"/>
                <w:szCs w:val="18"/>
              </w:rPr>
              <w:t>年份</w:t>
            </w:r>
          </w:p>
        </w:tc>
        <w:tc>
          <w:tcPr>
            <w:tcW w:w="1447" w:type="dxa"/>
            <w:noWrap w:val="0"/>
            <w:vAlign w:val="top"/>
          </w:tcPr>
          <w:p>
            <w:pPr>
              <w:wordWrap w:val="0"/>
              <w:autoSpaceDN w:val="0"/>
              <w:jc w:val="left"/>
              <w:rPr>
                <w:rFonts w:hint="eastAsia" w:ascii="Arial" w:hAnsi="宋体"/>
                <w:color w:val="000000"/>
                <w:sz w:val="18"/>
                <w:szCs w:val="18"/>
              </w:rPr>
            </w:pPr>
            <w:r>
              <w:rPr>
                <w:rFonts w:hint="eastAsia" w:ascii="Arial" w:hAnsi="宋体"/>
                <w:color w:val="000000"/>
                <w:sz w:val="18"/>
                <w:szCs w:val="18"/>
              </w:rPr>
              <w:t>提供就业岗位</w:t>
            </w:r>
          </w:p>
        </w:tc>
        <w:tc>
          <w:tcPr>
            <w:tcW w:w="1414" w:type="dxa"/>
            <w:noWrap w:val="0"/>
            <w:vAlign w:val="top"/>
          </w:tcPr>
          <w:p>
            <w:pPr>
              <w:wordWrap w:val="0"/>
              <w:autoSpaceDN w:val="0"/>
              <w:jc w:val="left"/>
              <w:rPr>
                <w:rFonts w:hint="eastAsia" w:ascii="Arial" w:hAnsi="宋体"/>
                <w:color w:val="000000"/>
                <w:sz w:val="18"/>
                <w:szCs w:val="18"/>
              </w:rPr>
            </w:pPr>
            <w:r>
              <w:rPr>
                <w:rFonts w:hint="eastAsia" w:ascii="Arial" w:hAnsi="宋体"/>
                <w:color w:val="000000"/>
                <w:sz w:val="18"/>
                <w:szCs w:val="18"/>
              </w:rPr>
              <w:t>占全市比重（%）</w:t>
            </w:r>
          </w:p>
        </w:tc>
        <w:tc>
          <w:tcPr>
            <w:tcW w:w="1453" w:type="dxa"/>
            <w:noWrap w:val="0"/>
            <w:vAlign w:val="top"/>
          </w:tcPr>
          <w:p>
            <w:pPr>
              <w:wordWrap w:val="0"/>
              <w:autoSpaceDN w:val="0"/>
              <w:jc w:val="center"/>
              <w:rPr>
                <w:rFonts w:hint="eastAsia" w:ascii="Arial" w:hAnsi="宋体"/>
                <w:color w:val="000000"/>
                <w:sz w:val="18"/>
                <w:szCs w:val="18"/>
              </w:rPr>
            </w:pPr>
            <w:r>
              <w:rPr>
                <w:rFonts w:hint="eastAsia" w:ascii="Arial" w:hAnsi="宋体"/>
                <w:color w:val="000000"/>
                <w:sz w:val="18"/>
                <w:szCs w:val="18"/>
              </w:rPr>
              <w:t>全市新增就业岗位（万人）</w:t>
            </w:r>
          </w:p>
        </w:tc>
        <w:tc>
          <w:tcPr>
            <w:tcW w:w="1746" w:type="dxa"/>
            <w:noWrap w:val="0"/>
            <w:vAlign w:val="top"/>
          </w:tcPr>
          <w:p>
            <w:pPr>
              <w:wordWrap w:val="0"/>
              <w:autoSpaceDN w:val="0"/>
              <w:jc w:val="center"/>
            </w:pPr>
            <w:r>
              <w:rPr>
                <w:rFonts w:hint="eastAsia" w:ascii="Arial" w:hAnsi="宋体"/>
                <w:color w:val="000000"/>
                <w:sz w:val="18"/>
                <w:szCs w:val="18"/>
              </w:rPr>
              <w:t>占新增就业比重</w:t>
            </w:r>
          </w:p>
        </w:tc>
        <w:tc>
          <w:tcPr>
            <w:tcW w:w="1462" w:type="dxa"/>
            <w:noWrap w:val="0"/>
            <w:vAlign w:val="top"/>
          </w:tcPr>
          <w:p>
            <w:pPr>
              <w:wordWrap w:val="0"/>
              <w:autoSpaceDN w:val="0"/>
              <w:jc w:val="center"/>
              <w:rPr>
                <w:rFonts w:hint="eastAsia" w:ascii="Arial" w:hAnsi="宋体"/>
                <w:color w:val="000000"/>
                <w:sz w:val="18"/>
                <w:szCs w:val="18"/>
              </w:rPr>
            </w:pPr>
            <w:r>
              <w:rPr>
                <w:rFonts w:hint="eastAsia" w:ascii="Arial" w:hAnsi="宋体"/>
                <w:color w:val="000000"/>
                <w:sz w:val="18"/>
                <w:szCs w:val="18"/>
              </w:rPr>
              <w:t xml:space="preserve"> 增速排名</w:t>
            </w:r>
          </w:p>
          <w:p>
            <w:pPr>
              <w:wordWrap w:val="0"/>
              <w:autoSpaceDN w:val="0"/>
              <w:jc w:val="center"/>
            </w:pPr>
            <w:r>
              <w:rPr>
                <w:rFonts w:hint="eastAsia" w:ascii="Arial" w:hAnsi="宋体"/>
                <w:color w:val="000000"/>
                <w:sz w:val="18"/>
                <w:szCs w:val="18"/>
              </w:rPr>
              <w:t>（规模以上）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96" w:type="dxa"/>
            <w:noWrap w:val="0"/>
            <w:vAlign w:val="top"/>
          </w:tcPr>
          <w:p>
            <w:pPr>
              <w:wordWrap w:val="0"/>
              <w:autoSpaceDN w:val="0"/>
              <w:spacing w:line="375" w:lineRule="atLeast"/>
              <w:jc w:val="center"/>
              <w:rPr>
                <w:rFonts w:hint="eastAsia" w:ascii="Arial" w:hAnsi="宋体"/>
                <w:color w:val="000000"/>
                <w:sz w:val="18"/>
                <w:szCs w:val="18"/>
              </w:rPr>
            </w:pPr>
            <w:r>
              <w:rPr>
                <w:rFonts w:hint="eastAsia" w:ascii="Arial" w:hAnsi="宋体"/>
                <w:color w:val="000000"/>
                <w:sz w:val="18"/>
                <w:szCs w:val="18"/>
              </w:rPr>
              <w:t>2007</w:t>
            </w:r>
          </w:p>
        </w:tc>
        <w:tc>
          <w:tcPr>
            <w:tcW w:w="1447" w:type="dxa"/>
            <w:noWrap w:val="0"/>
            <w:vAlign w:val="top"/>
          </w:tcPr>
          <w:p>
            <w:pPr>
              <w:wordWrap w:val="0"/>
              <w:autoSpaceDN w:val="0"/>
              <w:spacing w:line="375" w:lineRule="atLeast"/>
              <w:jc w:val="center"/>
              <w:rPr>
                <w:rFonts w:hint="eastAsia" w:ascii="Arial" w:hAnsi="宋体"/>
                <w:color w:val="000000"/>
                <w:sz w:val="18"/>
                <w:szCs w:val="18"/>
              </w:rPr>
            </w:pPr>
            <w:r>
              <w:rPr>
                <w:rFonts w:hint="eastAsia" w:ascii="Arial" w:hAnsi="宋体"/>
                <w:color w:val="000000"/>
                <w:sz w:val="18"/>
                <w:szCs w:val="18"/>
              </w:rPr>
              <w:t>7500</w:t>
            </w:r>
          </w:p>
        </w:tc>
        <w:tc>
          <w:tcPr>
            <w:tcW w:w="1414" w:type="dxa"/>
            <w:noWrap w:val="0"/>
            <w:vAlign w:val="top"/>
          </w:tcPr>
          <w:p>
            <w:pPr>
              <w:wordWrap w:val="0"/>
              <w:autoSpaceDN w:val="0"/>
              <w:spacing w:line="375" w:lineRule="atLeast"/>
              <w:jc w:val="center"/>
              <w:rPr>
                <w:rFonts w:hint="eastAsia" w:ascii="Arial" w:hAnsi="宋体"/>
                <w:color w:val="000000"/>
                <w:sz w:val="18"/>
                <w:szCs w:val="18"/>
              </w:rPr>
            </w:pPr>
            <w:r>
              <w:rPr>
                <w:rFonts w:hint="eastAsia" w:ascii="Arial" w:hAnsi="宋体"/>
                <w:color w:val="000000"/>
                <w:sz w:val="18"/>
                <w:szCs w:val="18"/>
              </w:rPr>
              <w:t>1.22</w:t>
            </w:r>
          </w:p>
        </w:tc>
        <w:tc>
          <w:tcPr>
            <w:tcW w:w="1453" w:type="dxa"/>
            <w:noWrap w:val="0"/>
            <w:vAlign w:val="top"/>
          </w:tcPr>
          <w:p>
            <w:pPr>
              <w:wordWrap w:val="0"/>
              <w:autoSpaceDN w:val="0"/>
              <w:spacing w:line="375" w:lineRule="atLeast"/>
              <w:jc w:val="center"/>
              <w:rPr>
                <w:rFonts w:hint="eastAsia" w:ascii="Arial" w:hAnsi="宋体"/>
                <w:color w:val="000000"/>
                <w:sz w:val="18"/>
                <w:szCs w:val="18"/>
              </w:rPr>
            </w:pPr>
            <w:r>
              <w:rPr>
                <w:rFonts w:hint="eastAsia" w:ascii="Arial" w:hAnsi="宋体"/>
                <w:color w:val="000000"/>
                <w:sz w:val="18"/>
                <w:szCs w:val="18"/>
              </w:rPr>
              <w:t>1.1</w:t>
            </w:r>
          </w:p>
        </w:tc>
        <w:tc>
          <w:tcPr>
            <w:tcW w:w="1746" w:type="dxa"/>
            <w:noWrap w:val="0"/>
            <w:vAlign w:val="top"/>
          </w:tcPr>
          <w:p>
            <w:pPr>
              <w:wordWrap w:val="0"/>
              <w:autoSpaceDN w:val="0"/>
              <w:spacing w:line="375" w:lineRule="atLeast"/>
              <w:jc w:val="center"/>
            </w:pPr>
            <w:r>
              <w:rPr>
                <w:rFonts w:hint="eastAsia" w:ascii="Arial" w:hAnsi="宋体"/>
                <w:color w:val="000000"/>
                <w:sz w:val="18"/>
                <w:szCs w:val="18"/>
              </w:rPr>
              <w:t>45.1%</w:t>
            </w:r>
          </w:p>
        </w:tc>
        <w:tc>
          <w:tcPr>
            <w:tcW w:w="1462" w:type="dxa"/>
            <w:noWrap w:val="0"/>
            <w:vAlign w:val="top"/>
          </w:tcPr>
          <w:p>
            <w:pPr>
              <w:wordWrap w:val="0"/>
              <w:autoSpaceDN w:val="0"/>
              <w:spacing w:line="375" w:lineRule="atLeast"/>
              <w:jc w:val="center"/>
            </w:pPr>
            <w:r>
              <w:rPr>
                <w:rFonts w:hint="eastAsia" w:ascii="Arial" w:hAnsi="宋体"/>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96" w:type="dxa"/>
            <w:noWrap w:val="0"/>
            <w:vAlign w:val="top"/>
          </w:tcPr>
          <w:p>
            <w:pPr>
              <w:wordWrap w:val="0"/>
              <w:autoSpaceDN w:val="0"/>
              <w:spacing w:line="375" w:lineRule="atLeast"/>
              <w:jc w:val="center"/>
              <w:rPr>
                <w:rFonts w:hint="eastAsia" w:ascii="Arial" w:hAnsi="宋体"/>
                <w:color w:val="000000"/>
                <w:sz w:val="18"/>
                <w:szCs w:val="18"/>
              </w:rPr>
            </w:pPr>
            <w:r>
              <w:rPr>
                <w:rFonts w:hint="eastAsia" w:ascii="Arial" w:hAnsi="宋体"/>
                <w:color w:val="000000"/>
                <w:sz w:val="18"/>
                <w:szCs w:val="18"/>
              </w:rPr>
              <w:t>2009</w:t>
            </w:r>
          </w:p>
        </w:tc>
        <w:tc>
          <w:tcPr>
            <w:tcW w:w="1447" w:type="dxa"/>
            <w:noWrap w:val="0"/>
            <w:vAlign w:val="top"/>
          </w:tcPr>
          <w:p>
            <w:pPr>
              <w:wordWrap w:val="0"/>
              <w:autoSpaceDN w:val="0"/>
              <w:spacing w:line="375" w:lineRule="atLeast"/>
              <w:jc w:val="center"/>
              <w:rPr>
                <w:rFonts w:hint="eastAsia" w:ascii="Arial" w:hAnsi="宋体"/>
                <w:color w:val="000000"/>
                <w:sz w:val="18"/>
                <w:szCs w:val="18"/>
              </w:rPr>
            </w:pPr>
            <w:r>
              <w:rPr>
                <w:rFonts w:hint="eastAsia" w:ascii="Arial" w:hAnsi="宋体"/>
                <w:color w:val="000000"/>
                <w:sz w:val="18"/>
                <w:szCs w:val="18"/>
              </w:rPr>
              <w:t>21000</w:t>
            </w:r>
          </w:p>
        </w:tc>
        <w:tc>
          <w:tcPr>
            <w:tcW w:w="1414" w:type="dxa"/>
            <w:noWrap w:val="0"/>
            <w:vAlign w:val="top"/>
          </w:tcPr>
          <w:p>
            <w:pPr>
              <w:wordWrap w:val="0"/>
              <w:autoSpaceDN w:val="0"/>
              <w:spacing w:line="375" w:lineRule="atLeast"/>
              <w:jc w:val="center"/>
              <w:rPr>
                <w:rFonts w:hint="eastAsia" w:ascii="Arial" w:hAnsi="宋体"/>
                <w:color w:val="000000"/>
                <w:sz w:val="18"/>
                <w:szCs w:val="18"/>
              </w:rPr>
            </w:pPr>
            <w:r>
              <w:rPr>
                <w:rFonts w:hint="eastAsia" w:ascii="Arial" w:hAnsi="宋体"/>
                <w:color w:val="000000"/>
                <w:sz w:val="18"/>
                <w:szCs w:val="18"/>
              </w:rPr>
              <w:t>3.11</w:t>
            </w:r>
          </w:p>
        </w:tc>
        <w:tc>
          <w:tcPr>
            <w:tcW w:w="1453" w:type="dxa"/>
            <w:noWrap w:val="0"/>
            <w:vAlign w:val="top"/>
          </w:tcPr>
          <w:p>
            <w:pPr>
              <w:wordWrap w:val="0"/>
              <w:autoSpaceDN w:val="0"/>
              <w:spacing w:line="375" w:lineRule="atLeast"/>
              <w:jc w:val="center"/>
              <w:rPr>
                <w:rFonts w:hint="eastAsia" w:ascii="Arial" w:hAnsi="宋体"/>
                <w:color w:val="000000"/>
                <w:sz w:val="18"/>
                <w:szCs w:val="18"/>
              </w:rPr>
            </w:pPr>
            <w:r>
              <w:rPr>
                <w:rFonts w:hint="eastAsia" w:ascii="Arial" w:hAnsi="宋体"/>
                <w:color w:val="000000"/>
                <w:sz w:val="18"/>
                <w:szCs w:val="18"/>
              </w:rPr>
              <w:t>2.08</w:t>
            </w:r>
          </w:p>
        </w:tc>
        <w:tc>
          <w:tcPr>
            <w:tcW w:w="1746" w:type="dxa"/>
            <w:noWrap w:val="0"/>
            <w:vAlign w:val="top"/>
          </w:tcPr>
          <w:p>
            <w:pPr>
              <w:wordWrap w:val="0"/>
              <w:autoSpaceDN w:val="0"/>
              <w:spacing w:line="375" w:lineRule="atLeast"/>
              <w:jc w:val="center"/>
            </w:pPr>
            <w:r>
              <w:rPr>
                <w:rFonts w:hint="eastAsia" w:ascii="Arial" w:hAnsi="宋体"/>
                <w:color w:val="000000"/>
                <w:sz w:val="18"/>
                <w:szCs w:val="18"/>
              </w:rPr>
              <w:t>62.7%</w:t>
            </w:r>
          </w:p>
        </w:tc>
        <w:tc>
          <w:tcPr>
            <w:tcW w:w="1462" w:type="dxa"/>
            <w:noWrap w:val="0"/>
            <w:vAlign w:val="top"/>
          </w:tcPr>
          <w:p>
            <w:pPr>
              <w:wordWrap w:val="0"/>
              <w:autoSpaceDN w:val="0"/>
              <w:spacing w:line="375" w:lineRule="atLeast"/>
              <w:jc w:val="center"/>
            </w:pPr>
            <w:r>
              <w:rPr>
                <w:rFonts w:hint="eastAsia" w:ascii="Arial" w:hAnsi="宋体"/>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96" w:type="dxa"/>
            <w:noWrap w:val="0"/>
            <w:vAlign w:val="top"/>
          </w:tcPr>
          <w:p>
            <w:pPr>
              <w:wordWrap w:val="0"/>
              <w:autoSpaceDN w:val="0"/>
              <w:spacing w:line="375" w:lineRule="atLeast"/>
              <w:jc w:val="center"/>
              <w:rPr>
                <w:rFonts w:hint="eastAsia" w:ascii="Arial" w:hAnsi="宋体"/>
                <w:color w:val="000000"/>
                <w:sz w:val="18"/>
                <w:szCs w:val="18"/>
              </w:rPr>
            </w:pPr>
            <w:r>
              <w:rPr>
                <w:rFonts w:hint="eastAsia" w:ascii="Arial" w:hAnsi="宋体"/>
                <w:color w:val="000000"/>
                <w:sz w:val="18"/>
                <w:szCs w:val="18"/>
              </w:rPr>
              <w:t>2011</w:t>
            </w:r>
          </w:p>
        </w:tc>
        <w:tc>
          <w:tcPr>
            <w:tcW w:w="1447" w:type="dxa"/>
            <w:noWrap w:val="0"/>
            <w:vAlign w:val="top"/>
          </w:tcPr>
          <w:p>
            <w:pPr>
              <w:wordWrap w:val="0"/>
              <w:autoSpaceDN w:val="0"/>
              <w:spacing w:line="375" w:lineRule="atLeast"/>
              <w:jc w:val="center"/>
              <w:rPr>
                <w:rFonts w:hint="eastAsia" w:ascii="Arial" w:hAnsi="宋体"/>
                <w:color w:val="000000"/>
                <w:sz w:val="18"/>
                <w:szCs w:val="18"/>
              </w:rPr>
            </w:pPr>
            <w:r>
              <w:rPr>
                <w:rFonts w:hint="eastAsia" w:ascii="Arial" w:hAnsi="宋体"/>
                <w:color w:val="000000"/>
                <w:sz w:val="18"/>
                <w:szCs w:val="18"/>
              </w:rPr>
              <w:t>30000</w:t>
            </w:r>
          </w:p>
        </w:tc>
        <w:tc>
          <w:tcPr>
            <w:tcW w:w="1414" w:type="dxa"/>
            <w:noWrap w:val="0"/>
            <w:vAlign w:val="top"/>
          </w:tcPr>
          <w:p>
            <w:pPr>
              <w:wordWrap w:val="0"/>
              <w:autoSpaceDN w:val="0"/>
              <w:spacing w:line="375" w:lineRule="atLeast"/>
              <w:jc w:val="center"/>
              <w:rPr>
                <w:rFonts w:hint="eastAsia" w:ascii="Arial" w:hAnsi="宋体"/>
                <w:color w:val="000000"/>
                <w:sz w:val="18"/>
                <w:szCs w:val="18"/>
              </w:rPr>
            </w:pPr>
            <w:r>
              <w:rPr>
                <w:rFonts w:hint="eastAsia" w:ascii="Arial" w:hAnsi="宋体"/>
                <w:color w:val="000000"/>
                <w:sz w:val="18"/>
                <w:szCs w:val="18"/>
              </w:rPr>
              <w:t>5.17</w:t>
            </w:r>
          </w:p>
        </w:tc>
        <w:tc>
          <w:tcPr>
            <w:tcW w:w="1453" w:type="dxa"/>
            <w:noWrap w:val="0"/>
            <w:vAlign w:val="top"/>
          </w:tcPr>
          <w:p>
            <w:pPr>
              <w:wordWrap w:val="0"/>
              <w:autoSpaceDN w:val="0"/>
              <w:spacing w:line="375" w:lineRule="atLeast"/>
              <w:jc w:val="center"/>
              <w:rPr>
                <w:rFonts w:hint="eastAsia" w:ascii="Arial" w:hAnsi="宋体"/>
                <w:color w:val="000000"/>
                <w:sz w:val="18"/>
                <w:szCs w:val="18"/>
              </w:rPr>
            </w:pPr>
            <w:r>
              <w:rPr>
                <w:rFonts w:hint="eastAsia" w:ascii="Arial" w:hAnsi="宋体"/>
                <w:color w:val="000000"/>
                <w:sz w:val="18"/>
                <w:szCs w:val="18"/>
              </w:rPr>
              <w:t>2.2</w:t>
            </w:r>
          </w:p>
        </w:tc>
        <w:tc>
          <w:tcPr>
            <w:tcW w:w="1746" w:type="dxa"/>
            <w:noWrap w:val="0"/>
            <w:vAlign w:val="top"/>
          </w:tcPr>
          <w:p>
            <w:pPr>
              <w:wordWrap w:val="0"/>
              <w:autoSpaceDN w:val="0"/>
              <w:spacing w:line="375" w:lineRule="atLeast"/>
              <w:jc w:val="center"/>
            </w:pPr>
            <w:r>
              <w:rPr>
                <w:rFonts w:hint="eastAsia" w:ascii="Arial" w:hAnsi="宋体"/>
                <w:color w:val="000000"/>
                <w:sz w:val="18"/>
                <w:szCs w:val="18"/>
              </w:rPr>
              <w:t>42.2%</w:t>
            </w:r>
          </w:p>
        </w:tc>
        <w:tc>
          <w:tcPr>
            <w:tcW w:w="1462" w:type="dxa"/>
            <w:noWrap w:val="0"/>
            <w:vAlign w:val="top"/>
          </w:tcPr>
          <w:p>
            <w:pPr>
              <w:wordWrap w:val="0"/>
              <w:autoSpaceDN w:val="0"/>
              <w:spacing w:line="375" w:lineRule="atLeast"/>
              <w:jc w:val="center"/>
            </w:pPr>
            <w:r>
              <w:rPr>
                <w:rFonts w:hint="eastAsia" w:ascii="Arial" w:hAnsi="宋体"/>
                <w:color w:val="000000"/>
                <w:sz w:val="18"/>
                <w:szCs w:val="18"/>
              </w:rPr>
              <w:t>1</w:t>
            </w:r>
          </w:p>
        </w:tc>
      </w:tr>
    </w:tbl>
    <w:p>
      <w:pPr>
        <w:wordWrap w:val="0"/>
        <w:autoSpaceDN w:val="0"/>
        <w:spacing w:line="375" w:lineRule="atLeast"/>
        <w:ind w:firstLine="527" w:firstLineChars="250"/>
        <w:jc w:val="left"/>
        <w:rPr>
          <w:rFonts w:hint="eastAsia" w:ascii="Arial" w:hAnsi="宋体"/>
          <w:color w:val="000000"/>
          <w:szCs w:val="21"/>
        </w:rPr>
      </w:pPr>
      <w:r>
        <w:rPr>
          <w:rFonts w:hint="eastAsia" w:ascii="Arial" w:hAnsi="宋体"/>
          <w:b/>
          <w:bCs/>
          <w:color w:val="000000"/>
          <w:szCs w:val="21"/>
        </w:rPr>
        <w:t>资料来源</w:t>
      </w:r>
      <w:r>
        <w:rPr>
          <w:rFonts w:hint="eastAsia" w:ascii="Arial" w:hAnsi="宋体"/>
          <w:color w:val="000000"/>
          <w:szCs w:val="21"/>
        </w:rPr>
        <w:t>：新余市国民经济与社会发展统计公报，2007——2012，经整理。</w:t>
      </w:r>
    </w:p>
    <w:p>
      <w:pPr>
        <w:wordWrap w:val="0"/>
        <w:autoSpaceDN w:val="0"/>
        <w:spacing w:line="375" w:lineRule="atLeast"/>
        <w:ind w:firstLine="562" w:firstLineChars="200"/>
        <w:jc w:val="left"/>
        <w:rPr>
          <w:rFonts w:hint="eastAsia" w:ascii="宋体" w:hAnsi="宋体"/>
          <w:b/>
          <w:bCs/>
          <w:color w:val="000000"/>
          <w:sz w:val="28"/>
          <w:szCs w:val="28"/>
        </w:rPr>
      </w:pPr>
    </w:p>
    <w:p>
      <w:pPr>
        <w:wordWrap w:val="0"/>
        <w:autoSpaceDN w:val="0"/>
        <w:spacing w:line="375" w:lineRule="atLeast"/>
        <w:ind w:firstLine="562" w:firstLineChars="200"/>
        <w:jc w:val="left"/>
        <w:rPr>
          <w:rFonts w:hint="eastAsia" w:ascii="宋体" w:hAnsi="宋体"/>
          <w:b/>
          <w:bCs/>
          <w:color w:val="000000"/>
          <w:sz w:val="28"/>
          <w:szCs w:val="28"/>
        </w:rPr>
      </w:pPr>
      <w:r>
        <w:rPr>
          <w:rFonts w:hint="eastAsia" w:ascii="宋体" w:hAnsi="宋体"/>
          <w:b/>
          <w:bCs/>
          <w:color w:val="000000"/>
          <w:sz w:val="28"/>
          <w:szCs w:val="28"/>
        </w:rPr>
        <w:t>4.光伏寒冬——经受考验</w:t>
      </w:r>
    </w:p>
    <w:p>
      <w:pPr>
        <w:wordWrap w:val="0"/>
        <w:autoSpaceDN w:val="0"/>
        <w:spacing w:line="375" w:lineRule="atLeast"/>
        <w:ind w:firstLine="480" w:firstLineChars="200"/>
        <w:jc w:val="left"/>
        <w:rPr>
          <w:rFonts w:ascii="宋体" w:hAnsi="宋体"/>
          <w:b/>
          <w:color w:val="2A2A2A"/>
          <w:sz w:val="24"/>
        </w:rPr>
      </w:pPr>
      <w:r>
        <w:rPr>
          <w:rFonts w:hint="eastAsia" w:ascii="宋体" w:hAnsi="宋体"/>
          <w:color w:val="000000"/>
          <w:sz w:val="24"/>
        </w:rPr>
        <w:t>随着国际金融危机的日益深化，国际市场风云变幻，各国光伏产业保护政策纷纷出台，国际贸易摩擦日益加深。继美国对中国光伏产业实施“双反”调查后，欧盟委员会对中国光伏产品启动“双反”措施，2013年6月4日，欧盟贸易委员会宣布，从6月6日起对中国光伏产品征收11.8%的临时反倾销税，两个月后税率将提高至47.6%。</w:t>
      </w:r>
    </w:p>
    <w:p>
      <w:pPr>
        <w:wordWrap w:val="0"/>
        <w:autoSpaceDN w:val="0"/>
        <w:spacing w:line="375" w:lineRule="atLeast"/>
        <w:ind w:firstLine="480" w:firstLineChars="200"/>
        <w:jc w:val="left"/>
        <w:rPr>
          <w:rFonts w:ascii="宋体" w:hAnsi="宋体"/>
          <w:color w:val="000000"/>
          <w:sz w:val="24"/>
        </w:rPr>
      </w:pPr>
      <w:r>
        <w:rPr>
          <w:rFonts w:hint="eastAsia" w:ascii="宋体" w:hAnsi="宋体"/>
          <w:color w:val="000000"/>
          <w:sz w:val="24"/>
        </w:rPr>
        <w:t>国内的盲目发展和无序竞争加剧了光伏产业的生存危机。中国光伏产业联盟提供的数据显示：目前全球太阳能光伏总产能大于实际需求量1.5-2倍，2011年，中国光伏企业数为262家，到2012年，这一数字已降至112家，“这意味着许多企业退出了光伏行业。即便如此，2012年我国建成的光伏组件产能达4500万千瓦，是2009年的7倍。”中国光伏产业联盟秘书长王勃华在接受多家媒体采访时公开表示。</w:t>
      </w:r>
    </w:p>
    <w:p>
      <w:pPr>
        <w:wordWrap w:val="0"/>
        <w:autoSpaceDN w:val="0"/>
        <w:spacing w:line="375" w:lineRule="atLeast"/>
        <w:ind w:firstLine="480" w:firstLineChars="200"/>
        <w:jc w:val="left"/>
        <w:rPr>
          <w:rFonts w:ascii="宋体" w:hAnsi="宋体"/>
          <w:color w:val="000000"/>
          <w:sz w:val="24"/>
        </w:rPr>
      </w:pPr>
      <w:r>
        <w:rPr>
          <w:rFonts w:hint="eastAsia" w:ascii="宋体" w:hAnsi="宋体"/>
          <w:color w:val="000000"/>
          <w:sz w:val="24"/>
        </w:rPr>
        <w:t>由于光伏产业链条出现多米诺骨牌效应，上游领域的原料倾销也使国内企业雪上加霜。海关数据显示，2012年上半年中国自欧盟进口的多晶硅9286吨，同比增加了30.8%；但平均价格却仅为27.53美元/千克，同比下降了47.46%。欧盟多晶硅主要来自德国，其中，国际多晶硅巨头德国瓦克公司出口中国的多晶硅数量最多。目前，国内规模以上的企业的生产成本大多在30美元～40美元/千克，而国外先进企业的生产成本基本在20美元/千克以下。“现在我国已有的60多家多晶硅企业中，只有不到10家还在进行少量生产，剩下的企业基本处于停产状态，并且这一局面短期内很难改变。”目前，我国企业出口欧洲的光伏产品本来就只赚取少量加工费，利润率才6%左右，根本无法填平欧盟反倾销税，未来恐怕只能退出欧盟市场。”厦门一光伏企业负责人表示。该公司是福建省内较早从事光伏产品研发与推广的企业之一，产品包括太阳能蓄电池等，且七成产品出口到欧美市场。</w:t>
      </w:r>
    </w:p>
    <w:p>
      <w:pPr>
        <w:wordWrap w:val="0"/>
        <w:autoSpaceDN w:val="0"/>
        <w:spacing w:line="375" w:lineRule="atLeast"/>
        <w:ind w:firstLine="240" w:firstLineChars="100"/>
        <w:jc w:val="left"/>
        <w:rPr>
          <w:rFonts w:ascii="ˎ̥" w:hAnsi="ˎ̥"/>
          <w:color w:val="2A2A2A"/>
          <w:szCs w:val="21"/>
        </w:rPr>
      </w:pPr>
      <w:r>
        <w:rPr>
          <w:rFonts w:hint="eastAsia" w:ascii="宋体" w:hAnsi="宋体"/>
          <w:color w:val="000000"/>
          <w:sz w:val="24"/>
        </w:rPr>
        <w:t xml:space="preserve"> “江苏是国内光伏产业大省，省内多家企业是这起案件的最大受害者。”江苏省商务厅公平贸易局负责人介绍说，案件涉及省内企业100多家，金额近百亿美元。在7家强制应诉的企业中，江苏就占到了一半，包括尚德、天合、旺能以及晶澳在苏的关联企业。欧盟是这些企业的最大出口市场，此次“双反”调查无异于雪上加霜</w:t>
      </w:r>
      <w:r>
        <w:rPr>
          <w:rFonts w:hint="eastAsia" w:ascii="ˎ̥" w:hAnsi="ˎ̥"/>
          <w:color w:val="2A2A2A"/>
          <w:szCs w:val="21"/>
        </w:rPr>
        <w:t>。</w:t>
      </w:r>
    </w:p>
    <w:p>
      <w:pPr>
        <w:autoSpaceDN w:val="0"/>
        <w:spacing w:line="375" w:lineRule="atLeast"/>
        <w:ind w:firstLine="480" w:firstLineChars="200"/>
        <w:rPr>
          <w:rFonts w:hint="eastAsia" w:ascii="Arial" w:hAnsi="宋体"/>
          <w:color w:val="000000"/>
          <w:sz w:val="24"/>
        </w:rPr>
      </w:pPr>
      <w:r>
        <w:rPr>
          <w:rFonts w:hint="eastAsia" w:ascii="Arial" w:hAnsi="宋体"/>
          <w:color w:val="000000"/>
          <w:sz w:val="24"/>
        </w:rPr>
        <w:t>无锡尚德生产最多，销售额最大，亏损也最大，季度亏损最高达116.4万美元。而赛维的规模排第四，亏损却与无锡尚德不相上下。</w:t>
      </w:r>
    </w:p>
    <w:p>
      <w:pPr>
        <w:autoSpaceDN w:val="0"/>
        <w:spacing w:line="375" w:lineRule="atLeast"/>
        <w:ind w:firstLine="562" w:firstLineChars="200"/>
        <w:rPr>
          <w:rFonts w:hint="eastAsia" w:ascii="Arial" w:hAnsi="宋体"/>
          <w:b/>
          <w:bCs/>
          <w:color w:val="000000"/>
          <w:sz w:val="28"/>
          <w:szCs w:val="28"/>
        </w:rPr>
      </w:pPr>
      <w:r>
        <w:rPr>
          <w:rFonts w:hint="eastAsia" w:ascii="Arial" w:hAnsi="宋体"/>
          <w:b/>
          <w:bCs/>
          <w:color w:val="000000"/>
          <w:sz w:val="28"/>
          <w:szCs w:val="28"/>
        </w:rPr>
        <w:t>4.1债务危机的爆发</w:t>
      </w:r>
    </w:p>
    <w:p>
      <w:pPr>
        <w:autoSpaceDN w:val="0"/>
        <w:spacing w:line="375" w:lineRule="atLeast"/>
        <w:ind w:firstLine="480" w:firstLineChars="200"/>
        <w:rPr>
          <w:rFonts w:hint="eastAsia" w:ascii="Arial" w:hAnsi="宋体"/>
          <w:color w:val="000000"/>
          <w:sz w:val="24"/>
        </w:rPr>
      </w:pPr>
      <w:r>
        <w:rPr>
          <w:rFonts w:ascii="宋体" w:hAnsi="宋体"/>
          <w:color w:val="000000"/>
          <w:sz w:val="24"/>
          <w:shd w:val="clear" w:color="auto" w:fill="FFFFFF"/>
        </w:rPr>
        <w:t>赛维</w:t>
      </w:r>
      <w:r>
        <w:rPr>
          <w:rFonts w:hint="eastAsia" w:ascii="宋体" w:hAnsi="宋体"/>
          <w:color w:val="000000"/>
          <w:sz w:val="24"/>
          <w:shd w:val="clear" w:color="auto" w:fill="FFFFFF"/>
        </w:rPr>
        <w:t>LDK</w:t>
      </w:r>
      <w:r>
        <w:rPr>
          <w:rFonts w:ascii="宋体" w:hAnsi="宋体"/>
          <w:color w:val="000000"/>
          <w:sz w:val="24"/>
          <w:shd w:val="clear" w:color="auto" w:fill="FFFFFF"/>
        </w:rPr>
        <w:t>一直被外界称为“信贷支撑产能扩张”的增长模式，这种模式在行业景气期占据市场份额上效果显著。但一旦行业低位徘徊时间拉长，则容易遭遇巨大的财务问题。</w:t>
      </w:r>
      <w:r>
        <w:rPr>
          <w:rFonts w:hint="eastAsia" w:ascii="Arial" w:hAnsi="宋体"/>
          <w:color w:val="000000"/>
          <w:sz w:val="24"/>
        </w:rPr>
        <w:t>尽管如此，彭晓峰坚称：光伏企业有很多会倒下，但不是赛维。赛维不是规模最大的，却是产业链最完善的。</w:t>
      </w:r>
    </w:p>
    <w:p>
      <w:pPr>
        <w:wordWrap w:val="0"/>
        <w:autoSpaceDN w:val="0"/>
        <w:spacing w:line="375" w:lineRule="atLeast"/>
        <w:ind w:firstLine="480" w:firstLineChars="200"/>
        <w:jc w:val="left"/>
        <w:rPr>
          <w:rFonts w:hint="eastAsia" w:ascii="Arial" w:hAnsi="宋体"/>
          <w:color w:val="000000"/>
          <w:sz w:val="24"/>
        </w:rPr>
      </w:pPr>
      <w:r>
        <w:rPr>
          <w:rFonts w:hint="eastAsia" w:ascii="Arial" w:hAnsi="宋体"/>
          <w:color w:val="000000"/>
          <w:sz w:val="24"/>
        </w:rPr>
        <w:t>然而，危机的爆发只是时间的问题！</w:t>
      </w:r>
    </w:p>
    <w:p>
      <w:pPr>
        <w:shd w:val="solid" w:color="FFFFFF" w:fill="auto"/>
        <w:autoSpaceDN w:val="0"/>
        <w:spacing w:line="360" w:lineRule="atLeast"/>
        <w:rPr>
          <w:rFonts w:hint="eastAsia" w:ascii="宋体" w:hAnsi="宋体"/>
          <w:color w:val="000000"/>
          <w:shd w:val="clear" w:color="auto" w:fill="FFFFFF"/>
        </w:rPr>
      </w:pPr>
      <w:r>
        <w:rPr>
          <w:rFonts w:hint="eastAsia" w:ascii="Arial" w:hAnsi="宋体"/>
          <w:color w:val="000000"/>
          <w:sz w:val="24"/>
          <w:szCs w:val="28"/>
        </w:rPr>
        <w:t xml:space="preserve">    </w:t>
      </w:r>
      <w:r>
        <w:rPr>
          <w:rFonts w:ascii="Arial" w:hAnsi="宋体"/>
          <w:color w:val="000000"/>
          <w:sz w:val="24"/>
          <w:szCs w:val="28"/>
        </w:rPr>
        <w:t>江西赛维2011年年报</w:t>
      </w:r>
      <w:r>
        <w:rPr>
          <w:rFonts w:hint="eastAsia" w:ascii="Arial" w:hAnsi="宋体"/>
          <w:color w:val="000000"/>
          <w:sz w:val="24"/>
          <w:szCs w:val="28"/>
        </w:rPr>
        <w:t>披露</w:t>
      </w:r>
      <w:r>
        <w:rPr>
          <w:rFonts w:ascii="Arial" w:hAnsi="宋体"/>
          <w:color w:val="000000"/>
          <w:sz w:val="24"/>
          <w:szCs w:val="28"/>
        </w:rPr>
        <w:t>，截至</w:t>
      </w:r>
      <w:r>
        <w:rPr>
          <w:rFonts w:hint="eastAsia" w:ascii="Arial" w:hAnsi="宋体"/>
          <w:color w:val="000000"/>
          <w:sz w:val="24"/>
          <w:szCs w:val="28"/>
        </w:rPr>
        <w:t>2011</w:t>
      </w:r>
      <w:r>
        <w:rPr>
          <w:rFonts w:ascii="Arial" w:hAnsi="宋体"/>
          <w:color w:val="000000"/>
          <w:sz w:val="24"/>
          <w:szCs w:val="28"/>
        </w:rPr>
        <w:t>年末该公司负债总额为302.30亿元，较上年末增加88.49亿元，其中刚性债务达196.71亿元，较上年末增加63.73亿元。其中银行贷款占据大头</w:t>
      </w:r>
      <w:r>
        <w:rPr>
          <w:rFonts w:hint="eastAsia" w:ascii="Arial" w:hAnsi="宋体"/>
          <w:color w:val="000000"/>
          <w:sz w:val="24"/>
          <w:szCs w:val="28"/>
        </w:rPr>
        <w:t>，</w:t>
      </w:r>
      <w:r>
        <w:rPr>
          <w:rFonts w:hint="eastAsia" w:ascii="Arial" w:hAnsi="宋体"/>
          <w:color w:val="000000"/>
          <w:sz w:val="24"/>
        </w:rPr>
        <w:t>负债率已经达到87.7%！</w:t>
      </w:r>
    </w:p>
    <w:p>
      <w:pPr>
        <w:autoSpaceDN w:val="0"/>
        <w:spacing w:line="375" w:lineRule="atLeast"/>
        <w:ind w:firstLine="480" w:firstLineChars="200"/>
        <w:rPr>
          <w:rFonts w:hint="eastAsia" w:ascii="Arial" w:hAnsi="宋体"/>
          <w:color w:val="000000"/>
          <w:sz w:val="24"/>
        </w:rPr>
      </w:pPr>
      <w:r>
        <w:rPr>
          <w:rFonts w:hint="eastAsia" w:ascii="Arial" w:hAnsi="宋体"/>
          <w:color w:val="000000"/>
          <w:sz w:val="24"/>
        </w:rPr>
        <w:t>2012年7月19日，江西省新余市，赛维LDK太阳能高科技有限公司总部的大门口，停着三辆车，车门开着，车上的人一直盯着门口。近来，几乎每天都有人在这里等着讨债。</w:t>
      </w:r>
    </w:p>
    <w:p>
      <w:pPr>
        <w:autoSpaceDN w:val="0"/>
        <w:spacing w:line="375" w:lineRule="atLeast"/>
        <w:ind w:firstLine="480" w:firstLineChars="200"/>
        <w:rPr>
          <w:rFonts w:hint="eastAsia" w:ascii="Arial" w:hAnsi="宋体"/>
          <w:color w:val="000000"/>
          <w:sz w:val="24"/>
        </w:rPr>
      </w:pPr>
      <w:r>
        <w:rPr>
          <w:rFonts w:hint="eastAsia" w:ascii="Arial" w:hAnsi="宋体"/>
          <w:color w:val="000000"/>
          <w:sz w:val="24"/>
        </w:rPr>
        <w:t>“几天前，这里才发生了一起集体讨债事件。他们先是去政府上访了几天，没什么效果，于是大家一起把赛维总部的门锁上，逼宫。”江西省新余市姚家边，这个位于城乡接合部的乡村与赛维隔路相望，村民胡宪明没事便跑过来看热闹。胡宪明看到的这一幕，从今年4月初开始，便已从赛维LDK的苏州工厂开始陆续上演。赛维的保安们紧张、忙碌，而事实上他们已经两个月没领到工资了。恐慌的气氛进一步蔓延，各路债权人纷纷到政府上访。如今在江西，赛维已经成为敏感词汇，涉及赛维的新闻，本地的所有网站一律不许转载，相关人员不允许接受媒体的采访，以至于所有接受采访的对象均要求匿名。</w:t>
      </w:r>
    </w:p>
    <w:p>
      <w:pPr>
        <w:wordWrap w:val="0"/>
        <w:autoSpaceDN w:val="0"/>
        <w:spacing w:line="375" w:lineRule="atLeast"/>
        <w:ind w:firstLine="360" w:firstLineChars="150"/>
        <w:rPr>
          <w:rFonts w:hint="eastAsia" w:ascii="Arial" w:hAnsi="宋体"/>
          <w:color w:val="000000"/>
          <w:sz w:val="24"/>
        </w:rPr>
      </w:pPr>
      <w:r>
        <w:rPr>
          <w:rFonts w:hint="eastAsia" w:ascii="Arial" w:hAnsi="宋体"/>
          <w:color w:val="000000"/>
          <w:sz w:val="24"/>
        </w:rPr>
        <w:t xml:space="preserve"> 胡宪明的老乡李新军是新余当地的一个土建工程老板，在过去的数年里，承建了赛维不少的基建工程，截至目前，赛维欠李的工程款接近千万。像李新军这样承接赛维基建工程的许多小老板都栽了进去。少则百八十万，多的数以千万计。在当地政府的协调下，几十个被拖欠工程款的包工头、农民工与彭小峰坐下来谈判协商。</w:t>
      </w:r>
    </w:p>
    <w:p>
      <w:pPr>
        <w:wordWrap w:val="0"/>
        <w:autoSpaceDN w:val="0"/>
        <w:spacing w:line="375" w:lineRule="atLeast"/>
        <w:ind w:firstLine="360" w:firstLineChars="150"/>
        <w:rPr>
          <w:rFonts w:hint="eastAsia" w:ascii="Arial" w:hAnsi="宋体"/>
          <w:color w:val="000000"/>
          <w:sz w:val="24"/>
        </w:rPr>
      </w:pPr>
      <w:r>
        <w:rPr>
          <w:rFonts w:hint="eastAsia" w:ascii="Arial" w:hAnsi="宋体"/>
          <w:color w:val="000000"/>
          <w:sz w:val="24"/>
        </w:rPr>
        <w:t>“几十个人围着他不让他走，现场很多人闹了起来，当时很多警察在场。”李新军说，当天，彭小峰表现得有诚意，但就是没钱。</w:t>
      </w:r>
    </w:p>
    <w:p>
      <w:pPr>
        <w:wordWrap w:val="0"/>
        <w:autoSpaceDN w:val="0"/>
        <w:spacing w:line="375" w:lineRule="atLeast"/>
        <w:ind w:firstLine="360" w:firstLineChars="150"/>
        <w:rPr>
          <w:rFonts w:ascii="Arial" w:hAnsi="宋体"/>
          <w:color w:val="000000"/>
          <w:sz w:val="24"/>
        </w:rPr>
      </w:pPr>
      <w:r>
        <w:rPr>
          <w:rFonts w:hint="eastAsia" w:ascii="Arial" w:hAnsi="宋体"/>
          <w:color w:val="000000"/>
          <w:sz w:val="24"/>
        </w:rPr>
        <w:t>“赛维确实是没钱了。”据李新军说，赛维的负责人劝他们说，赛维已经就是这个样子了，如果你们再闹下去，对大家都没好处。“彭小峰大不了破产走人，他的个人资产几代人都吃不完的，倒霉的只能是你们。”</w:t>
      </w:r>
    </w:p>
    <w:p>
      <w:pPr>
        <w:wordWrap w:val="0"/>
        <w:autoSpaceDN w:val="0"/>
        <w:spacing w:line="375" w:lineRule="atLeast"/>
        <w:ind w:firstLine="480" w:firstLineChars="200"/>
        <w:jc w:val="left"/>
        <w:rPr>
          <w:rFonts w:hint="eastAsia" w:ascii="Arial" w:hAnsi="宋体"/>
          <w:color w:val="000000"/>
          <w:sz w:val="24"/>
        </w:rPr>
      </w:pPr>
      <w:r>
        <w:rPr>
          <w:rFonts w:hint="eastAsia" w:ascii="Arial" w:hAnsi="宋体"/>
          <w:color w:val="000000"/>
          <w:sz w:val="24"/>
        </w:rPr>
        <w:t>害怕倒霉的不只是当地的李新军们，这些欠款只是赛维庞大债务里的九牛一毛。“现在是非常痛苦。政府、银行，大家都很痛苦。”相关人士透露，银行已经是寝食难安了，“赛维成功绑架了银行，也成功绑架了政府。”赛维最大的债权银行国家开发银行江西省分行已经专门安排一个处，形成一个比较固定的团队处理赛维事宜。</w:t>
      </w:r>
    </w:p>
    <w:p>
      <w:pPr>
        <w:wordWrap w:val="0"/>
        <w:autoSpaceDN w:val="0"/>
        <w:spacing w:line="375" w:lineRule="atLeast"/>
        <w:ind w:firstLine="480" w:firstLineChars="200"/>
        <w:jc w:val="left"/>
        <w:rPr>
          <w:rFonts w:hint="eastAsia" w:ascii="Arial" w:hAnsi="宋体"/>
          <w:color w:val="000000"/>
          <w:sz w:val="24"/>
          <w:szCs w:val="28"/>
        </w:rPr>
      </w:pPr>
      <w:r>
        <w:rPr>
          <w:rFonts w:hint="eastAsia" w:ascii="Arial" w:hAnsi="宋体"/>
          <w:color w:val="000000"/>
          <w:sz w:val="24"/>
        </w:rPr>
        <w:t>在这个庞大的债权人团体中，银行、信托等金融机构成为最主要的债权人。以国家开发银行为首的七大银行深陷其中，而且，排在前四位的债务额度均高达数十亿，数额差距很小。在这个天文数字的债务总额中，还包括供应商的欠款、工程商的欠款，巨额的电费、水费、气费以及其他单位及个人的各种欠款，赛维所欠水费已高达数千万。</w:t>
      </w:r>
      <w:r>
        <w:rPr>
          <w:rFonts w:ascii="Arial" w:hAnsi="宋体"/>
          <w:color w:val="000000"/>
          <w:sz w:val="24"/>
          <w:szCs w:val="28"/>
        </w:rPr>
        <w:t>截至</w:t>
      </w:r>
      <w:r>
        <w:rPr>
          <w:rFonts w:hint="eastAsia" w:ascii="Arial" w:hAnsi="宋体"/>
          <w:color w:val="000000"/>
          <w:sz w:val="24"/>
          <w:szCs w:val="28"/>
        </w:rPr>
        <w:t>2012</w:t>
      </w:r>
      <w:r>
        <w:rPr>
          <w:rFonts w:ascii="Arial" w:hAnsi="宋体"/>
          <w:color w:val="000000"/>
          <w:sz w:val="24"/>
          <w:szCs w:val="28"/>
        </w:rPr>
        <w:t>年底，江西赛维短期银行借款80.5亿元，这个数字在上年为58.7亿元。集团长期借款为49亿，上年则为37.6亿。</w:t>
      </w:r>
      <w:r>
        <w:rPr>
          <w:rFonts w:hint="eastAsia" w:ascii="Arial" w:hAnsi="宋体"/>
          <w:color w:val="000000"/>
          <w:sz w:val="24"/>
          <w:szCs w:val="28"/>
        </w:rPr>
        <w:t>这些银行贷款有的是政府出面担保，有的则是政府牵头协调的结果。</w:t>
      </w:r>
    </w:p>
    <w:p>
      <w:pPr>
        <w:shd w:val="solid" w:color="FFFFFF" w:fill="auto"/>
        <w:autoSpaceDN w:val="0"/>
        <w:spacing w:before="360" w:line="360" w:lineRule="atLeast"/>
        <w:jc w:val="center"/>
        <w:rPr>
          <w:rFonts w:hint="eastAsia" w:ascii="宋体" w:hAnsi="宋体"/>
          <w:color w:val="000000"/>
          <w:shd w:val="clear" w:color="auto" w:fill="FFFFFF"/>
        </w:rPr>
      </w:pPr>
      <w:r>
        <w:rPr>
          <w:rFonts w:hint="eastAsia" w:ascii="宋体" w:hAnsi="宋体"/>
          <w:color w:val="000000"/>
          <w:shd w:val="clear" w:color="auto" w:fill="FFFFFF"/>
        </w:rPr>
        <w:t xml:space="preserve"> </w:t>
      </w:r>
      <w:r>
        <w:rPr>
          <w:rFonts w:hint="eastAsia" w:ascii="宋体" w:hAnsi="宋体"/>
          <w:b/>
          <w:bCs/>
          <w:color w:val="000000"/>
          <w:shd w:val="clear" w:color="auto" w:fill="FFFFFF"/>
        </w:rPr>
        <w:t xml:space="preserve"> 表 3 江西赛维2011年末各项贷款来源及其属性</w:t>
      </w:r>
      <w:r>
        <w:rPr>
          <w:rFonts w:hint="eastAsia" w:ascii="宋体" w:hAnsi="宋体"/>
          <w:color w:val="000000"/>
          <w:shd w:val="clear" w:color="auto" w:fill="FFFFFF"/>
        </w:rPr>
        <w:t xml:space="preserve">    单位：亿元</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209"/>
        <w:gridCol w:w="1147"/>
        <w:gridCol w:w="1470"/>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558" w:type="dxa"/>
            <w:noWrap w:val="0"/>
            <w:vAlign w:val="top"/>
          </w:tcPr>
          <w:p>
            <w:pPr>
              <w:autoSpaceDN w:val="0"/>
              <w:spacing w:line="0" w:lineRule="atLeast"/>
              <w:rPr>
                <w:rFonts w:ascii="宋体" w:hAnsi="宋体"/>
                <w:color w:val="000000"/>
                <w:sz w:val="18"/>
                <w:szCs w:val="18"/>
                <w:shd w:val="clear" w:color="auto" w:fill="FFFFFF"/>
              </w:rPr>
            </w:pPr>
            <w:r>
              <w:rPr>
                <w:rFonts w:hint="eastAsia" w:ascii="宋体" w:hAnsi="宋体"/>
                <w:color w:val="000000"/>
                <w:sz w:val="18"/>
                <w:szCs w:val="18"/>
                <w:shd w:val="clear" w:color="auto" w:fill="FFFFFF"/>
              </w:rPr>
              <w:t>贷款银行</w:t>
            </w:r>
          </w:p>
        </w:tc>
        <w:tc>
          <w:tcPr>
            <w:tcW w:w="1209" w:type="dxa"/>
            <w:noWrap w:val="0"/>
            <w:vAlign w:val="top"/>
          </w:tcPr>
          <w:p>
            <w:pPr>
              <w:autoSpaceDN w:val="0"/>
              <w:spacing w:line="0" w:lineRule="atLeast"/>
              <w:rPr>
                <w:rFonts w:ascii="宋体" w:hAnsi="宋体"/>
                <w:color w:val="000000"/>
                <w:sz w:val="18"/>
                <w:szCs w:val="18"/>
                <w:shd w:val="clear" w:color="auto" w:fill="FFFFFF"/>
              </w:rPr>
            </w:pPr>
            <w:r>
              <w:rPr>
                <w:rFonts w:hint="eastAsia" w:ascii="宋体" w:hAnsi="宋体"/>
                <w:color w:val="000000"/>
                <w:sz w:val="18"/>
                <w:szCs w:val="18"/>
                <w:shd w:val="clear" w:color="auto" w:fill="FFFFFF"/>
              </w:rPr>
              <w:t>授信额度</w:t>
            </w:r>
          </w:p>
        </w:tc>
        <w:tc>
          <w:tcPr>
            <w:tcW w:w="1147" w:type="dxa"/>
            <w:noWrap w:val="0"/>
            <w:vAlign w:val="top"/>
          </w:tcPr>
          <w:p>
            <w:pPr>
              <w:autoSpaceDN w:val="0"/>
              <w:spacing w:line="0" w:lineRule="atLeast"/>
              <w:rPr>
                <w:rFonts w:ascii="宋体" w:hAnsi="宋体"/>
                <w:color w:val="000000"/>
                <w:sz w:val="18"/>
                <w:szCs w:val="18"/>
                <w:shd w:val="clear" w:color="auto" w:fill="FFFFFF"/>
              </w:rPr>
            </w:pPr>
            <w:r>
              <w:rPr>
                <w:rFonts w:hint="eastAsia" w:ascii="宋体" w:hAnsi="宋体"/>
                <w:color w:val="000000"/>
                <w:sz w:val="18"/>
                <w:szCs w:val="18"/>
                <w:shd w:val="clear" w:color="auto" w:fill="FFFFFF"/>
              </w:rPr>
              <w:t>实贷额度</w:t>
            </w:r>
          </w:p>
        </w:tc>
        <w:tc>
          <w:tcPr>
            <w:tcW w:w="1470" w:type="dxa"/>
            <w:noWrap w:val="0"/>
            <w:vAlign w:val="top"/>
          </w:tcPr>
          <w:p>
            <w:pPr>
              <w:autoSpaceDN w:val="0"/>
              <w:spacing w:line="0" w:lineRule="atLeast"/>
              <w:jc w:val="center"/>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政府是否</w:t>
            </w:r>
          </w:p>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隐性担保</w:t>
            </w:r>
          </w:p>
        </w:tc>
        <w:tc>
          <w:tcPr>
            <w:tcW w:w="1752" w:type="dxa"/>
            <w:noWrap w:val="0"/>
            <w:vAlign w:val="top"/>
          </w:tcPr>
          <w:p>
            <w:pPr>
              <w:autoSpaceDN w:val="0"/>
              <w:spacing w:line="0" w:lineRule="atLeast"/>
              <w:rPr>
                <w:rFonts w:ascii="宋体" w:hAnsi="宋体"/>
                <w:color w:val="000000"/>
                <w:sz w:val="18"/>
                <w:szCs w:val="18"/>
                <w:shd w:val="clear" w:color="auto" w:fill="FFFFFF"/>
              </w:rPr>
            </w:pPr>
            <w:r>
              <w:rPr>
                <w:rFonts w:hint="eastAsia" w:ascii="宋体" w:hAnsi="宋体"/>
                <w:color w:val="000000"/>
                <w:sz w:val="18"/>
                <w:szCs w:val="18"/>
                <w:shd w:val="clear" w:color="auto" w:fill="FFFFFF"/>
              </w:rPr>
              <w:t>政府是否参与协调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558" w:type="dxa"/>
            <w:noWrap w:val="0"/>
            <w:vAlign w:val="top"/>
          </w:tcPr>
          <w:p>
            <w:pPr>
              <w:autoSpaceDN w:val="0"/>
              <w:spacing w:line="0" w:lineRule="atLeast"/>
              <w:rPr>
                <w:rFonts w:ascii="宋体" w:hAnsi="宋体"/>
                <w:color w:val="000000"/>
                <w:sz w:val="18"/>
                <w:szCs w:val="18"/>
                <w:shd w:val="clear" w:color="auto" w:fill="FFFFFF"/>
              </w:rPr>
            </w:pPr>
            <w:r>
              <w:rPr>
                <w:rFonts w:hint="eastAsia" w:ascii="宋体" w:hAnsi="宋体"/>
                <w:color w:val="000000"/>
                <w:sz w:val="18"/>
                <w:szCs w:val="18"/>
                <w:shd w:val="clear" w:color="auto" w:fill="FFFFFF"/>
              </w:rPr>
              <w:t>建设银行</w:t>
            </w:r>
          </w:p>
        </w:tc>
        <w:tc>
          <w:tcPr>
            <w:tcW w:w="1209"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44</w:t>
            </w:r>
          </w:p>
        </w:tc>
        <w:tc>
          <w:tcPr>
            <w:tcW w:w="1147"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15.1</w:t>
            </w:r>
          </w:p>
        </w:tc>
        <w:tc>
          <w:tcPr>
            <w:tcW w:w="1470"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否</w:t>
            </w:r>
          </w:p>
        </w:tc>
        <w:tc>
          <w:tcPr>
            <w:tcW w:w="1752"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558" w:type="dxa"/>
            <w:noWrap w:val="0"/>
            <w:vAlign w:val="top"/>
          </w:tcPr>
          <w:p>
            <w:pPr>
              <w:autoSpaceDN w:val="0"/>
              <w:spacing w:line="0" w:lineRule="atLeast"/>
              <w:rPr>
                <w:rFonts w:ascii="宋体" w:hAnsi="宋体"/>
                <w:color w:val="000000"/>
                <w:sz w:val="18"/>
                <w:szCs w:val="18"/>
                <w:shd w:val="clear" w:color="auto" w:fill="FFFFFF"/>
              </w:rPr>
            </w:pPr>
            <w:r>
              <w:rPr>
                <w:rFonts w:hint="eastAsia" w:ascii="宋体" w:hAnsi="宋体"/>
                <w:color w:val="000000"/>
                <w:sz w:val="18"/>
                <w:szCs w:val="18"/>
                <w:shd w:val="clear" w:color="auto" w:fill="FFFFFF"/>
              </w:rPr>
              <w:t>交通银行</w:t>
            </w:r>
          </w:p>
        </w:tc>
        <w:tc>
          <w:tcPr>
            <w:tcW w:w="1209"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18</w:t>
            </w:r>
          </w:p>
        </w:tc>
        <w:tc>
          <w:tcPr>
            <w:tcW w:w="1147"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11.1</w:t>
            </w:r>
          </w:p>
        </w:tc>
        <w:tc>
          <w:tcPr>
            <w:tcW w:w="1470"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否</w:t>
            </w:r>
          </w:p>
        </w:tc>
        <w:tc>
          <w:tcPr>
            <w:tcW w:w="1752"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558" w:type="dxa"/>
            <w:noWrap w:val="0"/>
            <w:vAlign w:val="top"/>
          </w:tcPr>
          <w:p>
            <w:pPr>
              <w:autoSpaceDN w:val="0"/>
              <w:spacing w:line="0" w:lineRule="atLeast"/>
              <w:rPr>
                <w:rFonts w:ascii="宋体" w:hAnsi="宋体"/>
                <w:color w:val="000000"/>
                <w:sz w:val="18"/>
                <w:szCs w:val="18"/>
                <w:shd w:val="clear" w:color="auto" w:fill="FFFFFF"/>
              </w:rPr>
            </w:pPr>
            <w:r>
              <w:rPr>
                <w:rFonts w:hint="eastAsia" w:ascii="宋体" w:hAnsi="宋体"/>
                <w:color w:val="000000"/>
                <w:sz w:val="18"/>
                <w:szCs w:val="18"/>
                <w:shd w:val="clear" w:color="auto" w:fill="FFFFFF"/>
              </w:rPr>
              <w:t>农业银行</w:t>
            </w:r>
          </w:p>
        </w:tc>
        <w:tc>
          <w:tcPr>
            <w:tcW w:w="1209"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21.5</w:t>
            </w:r>
          </w:p>
        </w:tc>
        <w:tc>
          <w:tcPr>
            <w:tcW w:w="1147"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18</w:t>
            </w:r>
          </w:p>
        </w:tc>
        <w:tc>
          <w:tcPr>
            <w:tcW w:w="1470"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否</w:t>
            </w:r>
          </w:p>
        </w:tc>
        <w:tc>
          <w:tcPr>
            <w:tcW w:w="1752"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558" w:type="dxa"/>
            <w:noWrap w:val="0"/>
            <w:vAlign w:val="top"/>
          </w:tcPr>
          <w:p>
            <w:pPr>
              <w:autoSpaceDN w:val="0"/>
              <w:spacing w:line="0" w:lineRule="atLeast"/>
              <w:rPr>
                <w:rFonts w:ascii="宋体" w:hAnsi="宋体"/>
                <w:color w:val="000000"/>
                <w:sz w:val="18"/>
                <w:szCs w:val="18"/>
                <w:shd w:val="clear" w:color="auto" w:fill="FFFFFF"/>
              </w:rPr>
            </w:pPr>
            <w:r>
              <w:rPr>
                <w:rFonts w:hint="eastAsia" w:ascii="宋体" w:hAnsi="宋体"/>
                <w:color w:val="000000"/>
                <w:sz w:val="18"/>
                <w:szCs w:val="18"/>
                <w:shd w:val="clear" w:color="auto" w:fill="FFFFFF"/>
              </w:rPr>
              <w:t>中国银行</w:t>
            </w:r>
          </w:p>
        </w:tc>
        <w:tc>
          <w:tcPr>
            <w:tcW w:w="1209"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49.5</w:t>
            </w:r>
          </w:p>
        </w:tc>
        <w:tc>
          <w:tcPr>
            <w:tcW w:w="1147"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31.7</w:t>
            </w:r>
          </w:p>
        </w:tc>
        <w:tc>
          <w:tcPr>
            <w:tcW w:w="1470"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否</w:t>
            </w:r>
          </w:p>
        </w:tc>
        <w:tc>
          <w:tcPr>
            <w:tcW w:w="1752"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58" w:type="dxa"/>
            <w:noWrap w:val="0"/>
            <w:vAlign w:val="top"/>
          </w:tcPr>
          <w:p>
            <w:pPr>
              <w:autoSpaceDN w:val="0"/>
              <w:spacing w:line="0" w:lineRule="atLeast"/>
              <w:rPr>
                <w:rFonts w:ascii="宋体" w:hAnsi="宋体"/>
                <w:color w:val="000000"/>
                <w:sz w:val="18"/>
                <w:szCs w:val="18"/>
                <w:shd w:val="clear" w:color="auto" w:fill="FFFFFF"/>
              </w:rPr>
            </w:pPr>
            <w:r>
              <w:rPr>
                <w:rFonts w:hint="eastAsia" w:ascii="宋体" w:hAnsi="宋体"/>
                <w:color w:val="000000"/>
                <w:sz w:val="18"/>
                <w:szCs w:val="18"/>
                <w:shd w:val="clear" w:color="auto" w:fill="FFFFFF"/>
              </w:rPr>
              <w:t>招商银行</w:t>
            </w:r>
          </w:p>
        </w:tc>
        <w:tc>
          <w:tcPr>
            <w:tcW w:w="1209"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23</w:t>
            </w:r>
          </w:p>
        </w:tc>
        <w:tc>
          <w:tcPr>
            <w:tcW w:w="1147"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20</w:t>
            </w:r>
          </w:p>
        </w:tc>
        <w:tc>
          <w:tcPr>
            <w:tcW w:w="1470"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否</w:t>
            </w:r>
          </w:p>
        </w:tc>
        <w:tc>
          <w:tcPr>
            <w:tcW w:w="1752"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58" w:type="dxa"/>
            <w:noWrap w:val="0"/>
            <w:vAlign w:val="top"/>
          </w:tcPr>
          <w:p>
            <w:pPr>
              <w:autoSpaceDN w:val="0"/>
              <w:spacing w:line="0" w:lineRule="atLeast"/>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民生银行</w:t>
            </w:r>
          </w:p>
        </w:tc>
        <w:tc>
          <w:tcPr>
            <w:tcW w:w="1209"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10</w:t>
            </w:r>
          </w:p>
        </w:tc>
        <w:tc>
          <w:tcPr>
            <w:tcW w:w="1147"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6.1</w:t>
            </w:r>
          </w:p>
        </w:tc>
        <w:tc>
          <w:tcPr>
            <w:tcW w:w="1470"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否</w:t>
            </w:r>
          </w:p>
        </w:tc>
        <w:tc>
          <w:tcPr>
            <w:tcW w:w="1752"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58" w:type="dxa"/>
            <w:noWrap w:val="0"/>
            <w:vAlign w:val="top"/>
          </w:tcPr>
          <w:p>
            <w:pPr>
              <w:autoSpaceDN w:val="0"/>
              <w:spacing w:line="0" w:lineRule="atLeast"/>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南昌农商行</w:t>
            </w:r>
          </w:p>
        </w:tc>
        <w:tc>
          <w:tcPr>
            <w:tcW w:w="1209"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1.5</w:t>
            </w:r>
          </w:p>
        </w:tc>
        <w:tc>
          <w:tcPr>
            <w:tcW w:w="1147"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1.5</w:t>
            </w:r>
          </w:p>
        </w:tc>
        <w:tc>
          <w:tcPr>
            <w:tcW w:w="1470"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是</w:t>
            </w:r>
          </w:p>
        </w:tc>
        <w:tc>
          <w:tcPr>
            <w:tcW w:w="1752"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58" w:type="dxa"/>
            <w:noWrap w:val="0"/>
            <w:vAlign w:val="top"/>
          </w:tcPr>
          <w:p>
            <w:pPr>
              <w:autoSpaceDN w:val="0"/>
              <w:spacing w:line="0" w:lineRule="atLeast"/>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国家开发行</w:t>
            </w:r>
          </w:p>
        </w:tc>
        <w:tc>
          <w:tcPr>
            <w:tcW w:w="1209"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42.4</w:t>
            </w:r>
          </w:p>
        </w:tc>
        <w:tc>
          <w:tcPr>
            <w:tcW w:w="1147"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27.45</w:t>
            </w:r>
          </w:p>
        </w:tc>
        <w:tc>
          <w:tcPr>
            <w:tcW w:w="1470"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是</w:t>
            </w:r>
          </w:p>
        </w:tc>
        <w:tc>
          <w:tcPr>
            <w:tcW w:w="1752"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58" w:type="dxa"/>
            <w:noWrap w:val="0"/>
            <w:vAlign w:val="top"/>
          </w:tcPr>
          <w:p>
            <w:pPr>
              <w:autoSpaceDN w:val="0"/>
              <w:spacing w:line="0" w:lineRule="atLeast"/>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中国进出口银行</w:t>
            </w:r>
          </w:p>
        </w:tc>
        <w:tc>
          <w:tcPr>
            <w:tcW w:w="1209"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5</w:t>
            </w:r>
          </w:p>
        </w:tc>
        <w:tc>
          <w:tcPr>
            <w:tcW w:w="1147"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5</w:t>
            </w:r>
          </w:p>
        </w:tc>
        <w:tc>
          <w:tcPr>
            <w:tcW w:w="1470"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是</w:t>
            </w:r>
          </w:p>
        </w:tc>
        <w:tc>
          <w:tcPr>
            <w:tcW w:w="1752" w:type="dxa"/>
            <w:noWrap w:val="0"/>
            <w:vAlign w:val="top"/>
          </w:tcPr>
          <w:p>
            <w:pPr>
              <w:autoSpaceDN w:val="0"/>
              <w:spacing w:line="0" w:lineRule="atLeas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58" w:type="dxa"/>
            <w:noWrap w:val="0"/>
            <w:vAlign w:val="top"/>
          </w:tcPr>
          <w:p>
            <w:pPr>
              <w:autoSpaceDN w:val="0"/>
              <w:spacing w:line="0" w:lineRule="atLeast"/>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小计</w:t>
            </w:r>
          </w:p>
        </w:tc>
        <w:tc>
          <w:tcPr>
            <w:tcW w:w="1209" w:type="dxa"/>
            <w:noWrap w:val="0"/>
            <w:vAlign w:val="top"/>
          </w:tcPr>
          <w:p>
            <w:pPr>
              <w:autoSpaceDN w:val="0"/>
              <w:spacing w:line="0" w:lineRule="atLeast"/>
              <w:rPr>
                <w:rFonts w:ascii="宋体" w:hAnsi="宋体"/>
                <w:color w:val="000000"/>
                <w:sz w:val="18"/>
                <w:szCs w:val="18"/>
                <w:shd w:val="clear" w:color="auto" w:fill="FFFFFF"/>
              </w:rPr>
            </w:pPr>
          </w:p>
        </w:tc>
        <w:tc>
          <w:tcPr>
            <w:tcW w:w="1147" w:type="dxa"/>
            <w:noWrap w:val="0"/>
            <w:vAlign w:val="top"/>
          </w:tcPr>
          <w:p>
            <w:pPr>
              <w:autoSpaceDN w:val="0"/>
              <w:spacing w:line="0" w:lineRule="atLeast"/>
              <w:rPr>
                <w:rFonts w:ascii="宋体" w:hAnsi="宋体"/>
                <w:color w:val="000000"/>
                <w:sz w:val="18"/>
                <w:szCs w:val="18"/>
                <w:shd w:val="clear" w:color="auto" w:fill="FFFFFF"/>
              </w:rPr>
            </w:pPr>
          </w:p>
        </w:tc>
        <w:tc>
          <w:tcPr>
            <w:tcW w:w="1470" w:type="dxa"/>
            <w:noWrap w:val="0"/>
            <w:vAlign w:val="top"/>
          </w:tcPr>
          <w:p>
            <w:pPr>
              <w:autoSpaceDN w:val="0"/>
              <w:spacing w:line="0" w:lineRule="atLeast"/>
              <w:rPr>
                <w:rFonts w:ascii="宋体" w:hAnsi="宋体"/>
                <w:color w:val="000000"/>
                <w:sz w:val="18"/>
                <w:szCs w:val="18"/>
                <w:shd w:val="clear" w:color="auto" w:fill="FFFFFF"/>
              </w:rPr>
            </w:pPr>
          </w:p>
        </w:tc>
        <w:tc>
          <w:tcPr>
            <w:tcW w:w="1752" w:type="dxa"/>
            <w:noWrap w:val="0"/>
            <w:vAlign w:val="top"/>
          </w:tcPr>
          <w:p>
            <w:pPr>
              <w:autoSpaceDN w:val="0"/>
              <w:spacing w:line="0" w:lineRule="atLeast"/>
              <w:rPr>
                <w:rFonts w:ascii="宋体" w:hAnsi="宋体"/>
                <w:color w:val="000000"/>
                <w:sz w:val="18"/>
                <w:szCs w:val="18"/>
                <w:shd w:val="clear" w:color="auto" w:fill="FFFFFF"/>
              </w:rPr>
            </w:pPr>
          </w:p>
        </w:tc>
      </w:tr>
    </w:tbl>
    <w:p>
      <w:pPr>
        <w:shd w:val="solid" w:color="FFFFFF" w:fill="auto"/>
        <w:autoSpaceDN w:val="0"/>
        <w:spacing w:line="360" w:lineRule="atLeast"/>
        <w:rPr>
          <w:rFonts w:hint="eastAsia" w:ascii="宋体" w:hAnsi="宋体"/>
          <w:color w:val="000000"/>
          <w:shd w:val="clear" w:color="auto" w:fill="FFFFFF"/>
        </w:rPr>
      </w:pPr>
      <w:r>
        <w:rPr>
          <w:rFonts w:hint="eastAsia" w:ascii="宋体" w:hAnsi="宋体"/>
          <w:color w:val="000000"/>
          <w:shd w:val="clear" w:color="auto" w:fill="FFFFFF"/>
        </w:rPr>
        <w:t xml:space="preserve">        资料来源：赛维LDK太阳能科技股份有限公司2011年年报。</w:t>
      </w:r>
    </w:p>
    <w:p>
      <w:pPr>
        <w:wordWrap w:val="0"/>
        <w:autoSpaceDN w:val="0"/>
        <w:spacing w:line="375" w:lineRule="atLeast"/>
        <w:ind w:firstLine="480" w:firstLineChars="200"/>
        <w:jc w:val="left"/>
        <w:rPr>
          <w:rFonts w:hint="eastAsia" w:ascii="Arial" w:hAnsi="宋体"/>
          <w:color w:val="000000"/>
          <w:sz w:val="24"/>
        </w:rPr>
      </w:pPr>
    </w:p>
    <w:p>
      <w:pPr>
        <w:wordWrap w:val="0"/>
        <w:autoSpaceDN w:val="0"/>
        <w:spacing w:line="375" w:lineRule="atLeast"/>
        <w:ind w:firstLine="482" w:firstLineChars="200"/>
        <w:jc w:val="left"/>
        <w:rPr>
          <w:rFonts w:ascii="Arial" w:hAnsi="宋体"/>
          <w:b/>
          <w:color w:val="000000"/>
          <w:sz w:val="24"/>
        </w:rPr>
      </w:pPr>
      <w:r>
        <w:rPr>
          <w:rFonts w:hint="eastAsia" w:ascii="Arial" w:hAnsi="宋体"/>
          <w:b/>
          <w:color w:val="000000"/>
          <w:sz w:val="24"/>
        </w:rPr>
        <w:t>4.2 赛维自保</w:t>
      </w:r>
    </w:p>
    <w:p>
      <w:pPr>
        <w:wordWrap w:val="0"/>
        <w:autoSpaceDN w:val="0"/>
        <w:spacing w:line="375" w:lineRule="atLeast"/>
        <w:ind w:firstLine="120" w:firstLineChars="50"/>
        <w:rPr>
          <w:rFonts w:ascii="Arial" w:hAnsi="宋体"/>
          <w:color w:val="000000"/>
          <w:sz w:val="24"/>
        </w:rPr>
      </w:pPr>
      <w:r>
        <w:rPr>
          <w:rFonts w:ascii="Arial" w:hAnsi="宋体"/>
          <w:color w:val="000000"/>
          <w:sz w:val="24"/>
        </w:rPr>
        <w:t>　</w:t>
      </w:r>
      <w:r>
        <w:rPr>
          <w:rFonts w:hint="eastAsia" w:ascii="Arial" w:hAnsi="宋体"/>
          <w:color w:val="000000"/>
          <w:sz w:val="24"/>
        </w:rPr>
        <w:t xml:space="preserve"> 处于内忧外患之中的赛维日子很不好过，赛维试图通过减产瘦身进行自保。 2012年8月，</w:t>
      </w:r>
      <w:r>
        <w:rPr>
          <w:rFonts w:ascii="Arial" w:hAnsi="宋体"/>
          <w:color w:val="000000"/>
          <w:sz w:val="24"/>
        </w:rPr>
        <w:t>赛维新余总部的生产基地、马洪多晶硅生产工厂、苏州组件生产厂，除硅片业务外，其他生产环节的开工率均不足20%。位于新余马洪镇产能为1.5万吨/年的多晶硅工厂已经停产两个月；苏州产能800MW/年的组件厂已经停产半个月；产能为1.5GW/年的南昌组件生产基地现在每月产量仅20MW；新余的8条电池生产线已经停产6条，合肥的36条生产线已经停产32条；新余的11个切片车间也已经停产了1/4。</w:t>
      </w:r>
    </w:p>
    <w:p>
      <w:pPr>
        <w:wordWrap w:val="0"/>
        <w:autoSpaceDN w:val="0"/>
        <w:spacing w:line="375" w:lineRule="atLeast"/>
        <w:ind w:firstLine="480" w:firstLineChars="200"/>
        <w:jc w:val="left"/>
        <w:rPr>
          <w:rFonts w:hint="eastAsia" w:ascii="Arial" w:hAnsi="宋体"/>
          <w:color w:val="000000"/>
          <w:sz w:val="24"/>
        </w:rPr>
      </w:pPr>
      <w:r>
        <w:rPr>
          <w:rFonts w:hint="eastAsia" w:ascii="Arial" w:hAnsi="宋体"/>
          <w:color w:val="000000"/>
          <w:sz w:val="24"/>
        </w:rPr>
        <w:t>2012年10月，赛维将其三个太阳能屋顶电站作价1.4亿元转让给新大新材，以冲抵相应金额的应收账款，并且与恒瑞新能源有限公司签订以每股0.86美元购得19.9%股份，后者40%股权由新余市国有资产经营有限责任公司拥有。</w:t>
      </w:r>
    </w:p>
    <w:p>
      <w:pPr>
        <w:wordWrap w:val="0"/>
        <w:autoSpaceDN w:val="0"/>
        <w:spacing w:line="375" w:lineRule="atLeast"/>
        <w:ind w:firstLine="480" w:firstLineChars="200"/>
        <w:jc w:val="left"/>
        <w:rPr>
          <w:rFonts w:hint="eastAsia" w:ascii="Arial" w:hAnsi="宋体"/>
          <w:color w:val="000000"/>
          <w:sz w:val="24"/>
        </w:rPr>
      </w:pPr>
      <w:r>
        <w:rPr>
          <w:rFonts w:hint="eastAsia" w:ascii="Arial" w:hAnsi="宋体"/>
          <w:color w:val="000000"/>
          <w:sz w:val="24"/>
        </w:rPr>
        <w:t>2013年在8月5日公告中，合肥赛维股权被持有者以3.3亿元的价格，挂牌出售100%股权。时隔1个月，转让事宜尘埃落定。2013年9月11日，合肥市招投标中心发布公告称：受让方通威集团公司将以8.7亿元的价格全盘接手合肥赛维股权。</w:t>
      </w:r>
    </w:p>
    <w:p>
      <w:pPr>
        <w:wordWrap w:val="0"/>
        <w:autoSpaceDN w:val="0"/>
        <w:spacing w:line="375" w:lineRule="atLeast"/>
        <w:ind w:firstLine="480" w:firstLineChars="200"/>
        <w:jc w:val="left"/>
        <w:rPr>
          <w:rFonts w:hint="eastAsia" w:ascii="Arial" w:hAnsi="宋体"/>
          <w:color w:val="000000"/>
          <w:sz w:val="24"/>
        </w:rPr>
      </w:pPr>
      <w:r>
        <w:rPr>
          <w:rFonts w:hint="eastAsia" w:ascii="Arial" w:hAnsi="宋体"/>
          <w:color w:val="000000"/>
          <w:sz w:val="24"/>
        </w:rPr>
        <w:t>2012年，赛维的现金流减少了30多亿元。为求生存和发展，赛维提出了“三清三减”。“三清”是指清收预收账款、清库存、清闲置资产；“三减”包括严格控制和减少职能开支、减少员工18000名，以及减少运营和管理的各项费用。从2012年10月起，赛维已经出售了超过三分之一的资产。而变卖资产获取的现金，主要用于偿还债务。</w:t>
      </w:r>
    </w:p>
    <w:p>
      <w:pPr>
        <w:wordWrap w:val="0"/>
        <w:autoSpaceDN w:val="0"/>
        <w:spacing w:line="375" w:lineRule="atLeast"/>
        <w:ind w:firstLine="480" w:firstLineChars="200"/>
        <w:jc w:val="left"/>
        <w:rPr>
          <w:rFonts w:ascii="Arial" w:hAnsi="宋体"/>
          <w:color w:val="000000"/>
          <w:sz w:val="24"/>
        </w:rPr>
      </w:pPr>
    </w:p>
    <w:p>
      <w:pPr>
        <w:wordWrap w:val="0"/>
        <w:autoSpaceDN w:val="0"/>
        <w:spacing w:line="375" w:lineRule="atLeast"/>
        <w:ind w:firstLine="574" w:firstLineChars="200"/>
        <w:jc w:val="left"/>
        <w:rPr>
          <w:rFonts w:ascii="Arial" w:hAnsi="宋体"/>
          <w:b/>
          <w:color w:val="000000"/>
          <w:spacing w:val="3"/>
          <w:sz w:val="28"/>
          <w:szCs w:val="28"/>
        </w:rPr>
      </w:pPr>
      <w:r>
        <w:rPr>
          <w:rFonts w:hint="eastAsia" w:ascii="Arial" w:hAnsi="宋体"/>
          <w:b/>
          <w:color w:val="000000"/>
          <w:spacing w:val="3"/>
          <w:sz w:val="28"/>
          <w:szCs w:val="28"/>
        </w:rPr>
        <w:t>4.3 “你中有我，我中有你”——国有化</w:t>
      </w:r>
    </w:p>
    <w:p>
      <w:pPr>
        <w:wordWrap w:val="0"/>
        <w:autoSpaceDN w:val="0"/>
        <w:spacing w:line="375"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就赛维而言，当地政府的救助至少有两个重大动作，一是将“赛维LDK稳定发展基金”列入政府预算，为其迂回提供大额贷款担保；二是参股成立公司，以江西恒瑞新能源之名入股赛维，为其输血打气。</w:t>
      </w:r>
    </w:p>
    <w:p>
      <w:pPr>
        <w:wordWrap w:val="0"/>
        <w:autoSpaceDN w:val="0"/>
        <w:spacing w:line="375" w:lineRule="atLeast"/>
        <w:ind w:firstLine="480" w:firstLineChars="200"/>
        <w:jc w:val="left"/>
        <w:rPr>
          <w:rFonts w:ascii="Arial" w:hAnsi="宋体"/>
          <w:color w:val="000000"/>
          <w:sz w:val="24"/>
        </w:rPr>
      </w:pPr>
      <w:r>
        <w:rPr>
          <w:rFonts w:hint="eastAsia" w:ascii="Arial" w:hAnsi="宋体"/>
          <w:color w:val="000000"/>
          <w:sz w:val="24"/>
        </w:rPr>
        <w:t>新余市政府专门成立了一个帮扶小组进驻赛维LDK，帮助其缓解当前的燃眉之急。新余市政府已经就赛维LDK的困难组织召开了多次协调会，“要求电、水、气、油公司，要全力提供保障。”参与会议的一位企业负责人颇感无奈，“现在有相当的责任已经是政府包办了，由政府出面协调要求我们提供支持，导致很多单位都被牵涉其中了。”</w:t>
      </w:r>
    </w:p>
    <w:p>
      <w:pPr>
        <w:wordWrap w:val="0"/>
        <w:autoSpaceDN w:val="0"/>
        <w:spacing w:line="375"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2012年10月22日，赛维与江西恒瑞新能源有限公司（下称恒瑞新能源）签署股权购买协议，恒瑞新能源同意购买赛维发行在外的股本中约19.9%的股份，购买价为每股普通股0.86美元，并受限于股权购买协议的条款和条件，包括180天的锁定期。恒瑞新能源40%的股权所有者是江西省新余市国有资产经营有限责任公司，其另外60%股权由恒基伟业所有。通过此次发行，这家国有背景浓厚的恒瑞新能源也成为赛维最大的机构股东。</w:t>
      </w:r>
    </w:p>
    <w:p>
      <w:pPr>
        <w:wordWrap w:val="0"/>
        <w:autoSpaceDN w:val="0"/>
        <w:spacing w:line="375"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对于赛维LDK来说，董事会成员的人事变动比CEO更迭更能说明创始人对公司控制权的丧失。公告显示，赛维宣布任命五位新董事会成员，分别为王嶒、伍世安、刘志斌、姚红江和刘学志；同时董事会指定王嶒和伍世安为独立董事。</w:t>
      </w:r>
    </w:p>
    <w:p>
      <w:pPr>
        <w:wordWrap w:val="0"/>
        <w:autoSpaceDN w:val="0"/>
        <w:spacing w:line="375"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而资料显示，赛维原董事会成员一共有5名，分别为彭小峰、佟兴雪、朱良保、邵永刚、姚启强。除佟兴雪以外，其他四位都为赛维创业元老。</w:t>
      </w:r>
    </w:p>
    <w:p>
      <w:pPr>
        <w:wordWrap w:val="0"/>
        <w:autoSpaceDN w:val="0"/>
        <w:spacing w:line="375"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此次变动后，赛维董事会即形成“5对5”的势均力敌的格局。 随着国有背景浓厚的恒瑞新能源成为最大股东，赛维国有化已成定势。与赛维同命相连的无锡尚德却没有这么幸运，无锡市政府有意施救尚德，但是由于条件原因被尚德拒绝，债务缠身的尚德破产重组。2013年11月15日，尚德破产尘埃落定，顺风光电击败英利绿色能源等行业巨头，以30亿元的价格收购了尚德。当地政府所扮演角色的不同，造就了赛维和尚德的不同命运，两地政府之所以做出完全不同的选择，这跟当地的经济发展水平有着密切的联系。也许，尚德的破产与否对于经济较为发达的无锡而言，影响远没有赛维对新余那么大。</w:t>
      </w:r>
    </w:p>
    <w:p>
      <w:pPr>
        <w:wordWrap w:val="0"/>
        <w:autoSpaceDN w:val="0"/>
        <w:spacing w:line="375"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赛维国有化后彭小峰转战电商，试图在电商行业再造赛维神话。尚德破产后，施正荣远离了公众的视线。把赛维带入新余的当地政府招商热情依然不减，一篇刊登在新余市政府官方网站招商引资板块上的文章：“奔走在灯火阑珊处——新余户外照明产业招商小分队工作纪实”中写道：“7月初，由市直机关和高新区33名工作人员组成的新余市户外照明产业招商小分队从新余启程，分赴珠三角、长三角等地区开展招商活动。无专业知识、无招商经历、无洽谈经验，这支临时拼凑的“三无”队伍，凭着一腔热情，克服种种困难，在短短两个月时间里，共走访照明企业500余家，以诚恳的态度和优惠的政策吸引近100家企业签约投资，“中国户外照明之都”的光芒依然闪烁！</w:t>
      </w:r>
    </w:p>
    <w:p>
      <w:pPr>
        <w:wordWrap w:val="0"/>
        <w:autoSpaceDN w:val="0"/>
        <w:spacing w:line="375" w:lineRule="atLeast"/>
        <w:ind w:firstLine="574" w:firstLineChars="200"/>
        <w:jc w:val="left"/>
        <w:rPr>
          <w:rFonts w:ascii="Arial" w:hAnsi="宋体"/>
          <w:b/>
          <w:color w:val="000000"/>
          <w:spacing w:val="3"/>
          <w:sz w:val="28"/>
          <w:szCs w:val="28"/>
        </w:rPr>
      </w:pPr>
      <w:r>
        <w:rPr>
          <w:rFonts w:hint="eastAsia" w:ascii="Arial" w:hAnsi="宋体"/>
          <w:b/>
          <w:color w:val="000000"/>
          <w:spacing w:val="3"/>
          <w:sz w:val="28"/>
          <w:szCs w:val="28"/>
        </w:rPr>
        <w:t>5.无言的结局</w:t>
      </w:r>
    </w:p>
    <w:p>
      <w:pPr>
        <w:wordWrap w:val="0"/>
        <w:autoSpaceDN w:val="0"/>
        <w:spacing w:line="375" w:lineRule="atLeast"/>
        <w:ind w:firstLine="480" w:firstLineChars="200"/>
        <w:jc w:val="left"/>
        <w:rPr>
          <w:rFonts w:ascii="宋体" w:hAnsi="宋体"/>
          <w:color w:val="000000"/>
          <w:sz w:val="24"/>
        </w:rPr>
      </w:pPr>
      <w:r>
        <w:rPr>
          <w:rFonts w:hint="eastAsia" w:ascii="宋体" w:hAnsi="宋体"/>
          <w:color w:val="000000"/>
          <w:sz w:val="24"/>
        </w:rPr>
        <w:t>在赛维LDK与新余政府继续演绎生死之恋的后危机时代，</w:t>
      </w:r>
      <w:r>
        <w:rPr>
          <w:rFonts w:ascii="宋体" w:hAnsi="宋体"/>
          <w:color w:val="000000"/>
          <w:sz w:val="24"/>
        </w:rPr>
        <w:t>党的十八届三中全会通过的《中共中央关于全面深化改革若干重大问题的决定》提出</w:t>
      </w:r>
      <w:r>
        <w:rPr>
          <w:rFonts w:hint="eastAsia" w:ascii="宋体" w:hAnsi="宋体"/>
          <w:color w:val="000000"/>
          <w:sz w:val="24"/>
        </w:rPr>
        <w:t>：</w:t>
      </w:r>
      <w:r>
        <w:rPr>
          <w:rFonts w:ascii="宋体" w:hAnsi="宋体"/>
          <w:color w:val="000000"/>
          <w:sz w:val="24"/>
        </w:rPr>
        <w:t>要“紧紧围绕市场在资源配置中起决定性作用深化经济体制改革”，“使市场在资源配置中起决定性作用和更好发挥政府作用”。</w:t>
      </w:r>
      <w:r>
        <w:rPr>
          <w:rFonts w:hint="eastAsia" w:ascii="宋体" w:hAnsi="宋体"/>
          <w:color w:val="000000"/>
          <w:sz w:val="24"/>
        </w:rPr>
        <w:t>市场在资源配置中的作用由“基础性”变为“决定性”，市场这只“看不见的手”所发挥的作用将会是持续性的。政府这只“看得见的手”将更多的起间接作用。随着这一决定的出台和实施，诸如新余市直接动用财政资金施救赛维的现象将会进一步减少</w:t>
      </w:r>
      <w:r>
        <w:rPr>
          <w:rFonts w:hint="eastAsia" w:ascii="宋体" w:hAnsi="宋体"/>
          <w:b/>
          <w:color w:val="000000"/>
          <w:spacing w:val="3"/>
          <w:sz w:val="24"/>
        </w:rPr>
        <w:t>，</w:t>
      </w:r>
      <w:r>
        <w:rPr>
          <w:rFonts w:hint="eastAsia" w:ascii="宋体" w:hAnsi="宋体"/>
          <w:color w:val="000000"/>
          <w:sz w:val="24"/>
        </w:rPr>
        <w:t>但是在“唯GDP论英雄”的官员考核机制和“招商引资重于一切”的地方经济发展观念没有得到根本扭转的环境下，地方政府在企业的发展中依然扮演着重要角色。江西赛维与新余政府之恋还得在困境中继续演绎下去，经受更加严峻的考验！</w:t>
      </w:r>
    </w:p>
    <w:p>
      <w:pPr>
        <w:wordWrap w:val="0"/>
        <w:autoSpaceDN w:val="0"/>
        <w:spacing w:line="375" w:lineRule="atLeast"/>
        <w:ind w:firstLine="360" w:firstLineChars="200"/>
        <w:jc w:val="left"/>
        <w:rPr>
          <w:rFonts w:ascii="ˎ̥" w:hAnsi="ˎ̥"/>
          <w:color w:val="333333"/>
          <w:sz w:val="18"/>
          <w:szCs w:val="18"/>
        </w:rPr>
      </w:pPr>
    </w:p>
    <w:p>
      <w:pPr>
        <w:wordWrap w:val="0"/>
        <w:autoSpaceDN w:val="0"/>
        <w:spacing w:line="375" w:lineRule="atLeast"/>
        <w:jc w:val="center"/>
        <w:rPr>
          <w:rFonts w:hint="eastAsia"/>
          <w:b/>
          <w:bCs/>
          <w:sz w:val="36"/>
          <w:szCs w:val="36"/>
        </w:rPr>
      </w:pPr>
      <w:r>
        <w:br w:type="page"/>
      </w:r>
      <w:r>
        <w:rPr>
          <w:rFonts w:hint="eastAsia" w:ascii="幼圆" w:hAnsi="幼圆" w:eastAsia="幼圆" w:cs="幼圆"/>
          <w:b/>
          <w:bCs/>
          <w:sz w:val="32"/>
          <w:szCs w:val="32"/>
        </w:rPr>
        <w:t>教学手册</w:t>
      </w:r>
    </w:p>
    <w:p>
      <w:pPr>
        <w:widowControl/>
        <w:spacing w:before="156" w:beforeLines="50" w:line="360" w:lineRule="auto"/>
        <w:jc w:val="left"/>
        <w:rPr>
          <w:rFonts w:hint="eastAsia" w:ascii="宋体" w:hAnsi="宋体" w:cs="宋体"/>
          <w:b/>
          <w:kern w:val="0"/>
          <w:sz w:val="28"/>
          <w:szCs w:val="28"/>
        </w:rPr>
      </w:pPr>
      <w:r>
        <w:rPr>
          <w:rFonts w:hint="eastAsia" w:ascii="宋体" w:hAnsi="宋体" w:cs="宋体"/>
          <w:b/>
          <w:kern w:val="0"/>
          <w:sz w:val="28"/>
          <w:szCs w:val="28"/>
        </w:rPr>
        <w:t>一、课前准备：</w:t>
      </w:r>
    </w:p>
    <w:p>
      <w:pPr>
        <w:widowControl/>
        <w:spacing w:before="156" w:beforeLines="50" w:line="360" w:lineRule="auto"/>
        <w:ind w:firstLine="480" w:firstLineChars="200"/>
        <w:jc w:val="left"/>
        <w:rPr>
          <w:rFonts w:hint="eastAsia" w:ascii="宋体" w:hAnsi="宋体" w:cs="宋体"/>
          <w:bCs/>
          <w:kern w:val="0"/>
          <w:sz w:val="24"/>
        </w:rPr>
      </w:pPr>
      <w:r>
        <w:rPr>
          <w:rFonts w:hint="eastAsia" w:ascii="宋体" w:hAnsi="宋体" w:cs="宋体"/>
          <w:bCs/>
          <w:kern w:val="0"/>
          <w:sz w:val="24"/>
        </w:rPr>
        <w:t>（1）登陆赛维LDK太阳能科技公司官方网站，了解最近5年的上市公司年报。</w:t>
      </w:r>
    </w:p>
    <w:p>
      <w:pPr>
        <w:widowControl/>
        <w:spacing w:before="156" w:beforeLines="50" w:line="360" w:lineRule="auto"/>
        <w:ind w:firstLine="480" w:firstLineChars="200"/>
        <w:jc w:val="left"/>
        <w:rPr>
          <w:rFonts w:hint="eastAsia" w:ascii="宋体" w:hAnsi="宋体" w:cs="宋体"/>
          <w:bCs/>
          <w:kern w:val="0"/>
          <w:sz w:val="24"/>
        </w:rPr>
      </w:pPr>
      <w:r>
        <w:rPr>
          <w:rFonts w:hint="eastAsia" w:ascii="宋体" w:hAnsi="宋体" w:cs="宋体"/>
          <w:bCs/>
          <w:kern w:val="0"/>
          <w:sz w:val="24"/>
        </w:rPr>
        <w:t>（2）登陆新余政府官方网站，了解新余市关于促进招商引资的政策和统计公报。</w:t>
      </w:r>
    </w:p>
    <w:p>
      <w:pPr>
        <w:widowControl/>
        <w:spacing w:before="156" w:beforeLines="50" w:line="360" w:lineRule="auto"/>
        <w:ind w:firstLine="480" w:firstLineChars="200"/>
        <w:jc w:val="left"/>
        <w:rPr>
          <w:rFonts w:hint="eastAsia" w:ascii="宋体" w:hAnsi="宋体" w:cs="宋体"/>
          <w:bCs/>
          <w:kern w:val="0"/>
          <w:sz w:val="24"/>
        </w:rPr>
      </w:pPr>
      <w:r>
        <w:rPr>
          <w:rFonts w:hint="eastAsia" w:ascii="宋体" w:hAnsi="宋体" w:cs="宋体"/>
          <w:bCs/>
          <w:kern w:val="0"/>
          <w:sz w:val="24"/>
        </w:rPr>
        <w:t>（3）提前布置阅读案例材料《赛维LDK与新余政府之恋》。</w:t>
      </w:r>
    </w:p>
    <w:p>
      <w:pPr>
        <w:widowControl/>
        <w:spacing w:before="156" w:beforeLines="50" w:line="360" w:lineRule="auto"/>
        <w:ind w:firstLine="480" w:firstLineChars="200"/>
        <w:jc w:val="left"/>
        <w:rPr>
          <w:rFonts w:hint="eastAsia" w:ascii="宋体" w:hAnsi="宋体" w:cs="宋体"/>
          <w:bCs/>
          <w:kern w:val="0"/>
          <w:sz w:val="24"/>
        </w:rPr>
      </w:pPr>
      <w:r>
        <w:rPr>
          <w:rFonts w:hint="eastAsia" w:ascii="宋体" w:hAnsi="宋体" w:cs="宋体"/>
          <w:bCs/>
          <w:kern w:val="0"/>
          <w:sz w:val="24"/>
        </w:rPr>
        <w:t>（4）学习十八届三中全会决议和中共中央《关于全面深化改革的决定》。</w:t>
      </w:r>
    </w:p>
    <w:p>
      <w:pPr>
        <w:widowControl/>
        <w:spacing w:before="156" w:beforeLines="50" w:line="360" w:lineRule="auto"/>
        <w:ind w:firstLine="480" w:firstLineChars="200"/>
        <w:jc w:val="left"/>
        <w:rPr>
          <w:rFonts w:hint="eastAsia" w:ascii="宋体" w:hAnsi="宋体" w:cs="宋体"/>
          <w:bCs/>
          <w:kern w:val="0"/>
          <w:sz w:val="24"/>
        </w:rPr>
      </w:pPr>
      <w:r>
        <w:rPr>
          <w:rFonts w:hint="eastAsia" w:ascii="宋体" w:hAnsi="宋体" w:cs="宋体"/>
          <w:bCs/>
          <w:kern w:val="0"/>
          <w:sz w:val="24"/>
        </w:rPr>
        <w:t>（5）复习政府与市场关系的著作和分析方法，选择独有视角进行分析。</w:t>
      </w:r>
    </w:p>
    <w:p>
      <w:pPr>
        <w:widowControl/>
        <w:spacing w:before="156" w:beforeLines="50" w:line="360" w:lineRule="auto"/>
        <w:jc w:val="left"/>
        <w:rPr>
          <w:rFonts w:hint="eastAsia" w:ascii="宋体" w:hAnsi="宋体" w:cs="宋体"/>
          <w:b/>
          <w:kern w:val="0"/>
          <w:sz w:val="28"/>
          <w:szCs w:val="28"/>
        </w:rPr>
      </w:pPr>
      <w:r>
        <w:rPr>
          <w:rFonts w:hint="eastAsia" w:ascii="宋体" w:hAnsi="宋体" w:cs="宋体"/>
          <w:b/>
          <w:kern w:val="0"/>
          <w:sz w:val="28"/>
          <w:szCs w:val="28"/>
        </w:rPr>
        <w:t>二、适用对象：</w:t>
      </w:r>
    </w:p>
    <w:p>
      <w:pPr>
        <w:widowControl/>
        <w:spacing w:before="156" w:beforeLines="50" w:line="360" w:lineRule="auto"/>
        <w:ind w:firstLine="480" w:firstLineChars="200"/>
        <w:jc w:val="left"/>
        <w:rPr>
          <w:rFonts w:hint="eastAsia" w:ascii="宋体" w:hAnsi="宋体" w:cs="宋体"/>
          <w:bCs/>
          <w:kern w:val="0"/>
          <w:sz w:val="24"/>
        </w:rPr>
      </w:pPr>
      <w:r>
        <w:rPr>
          <w:rFonts w:hint="eastAsia" w:ascii="宋体" w:hAnsi="宋体" w:cs="宋体"/>
          <w:bCs/>
          <w:kern w:val="0"/>
          <w:sz w:val="24"/>
        </w:rPr>
        <w:t>（1）MPA专业学位研究生</w:t>
      </w:r>
    </w:p>
    <w:p>
      <w:pPr>
        <w:widowControl/>
        <w:spacing w:before="156" w:beforeLines="50" w:line="360" w:lineRule="auto"/>
        <w:ind w:firstLine="480" w:firstLineChars="200"/>
        <w:jc w:val="left"/>
        <w:rPr>
          <w:rFonts w:hint="eastAsia" w:ascii="宋体" w:hAnsi="宋体" w:cs="宋体"/>
          <w:bCs/>
          <w:kern w:val="0"/>
          <w:sz w:val="24"/>
        </w:rPr>
      </w:pPr>
      <w:r>
        <w:rPr>
          <w:rFonts w:hint="eastAsia" w:ascii="宋体" w:hAnsi="宋体" w:cs="宋体"/>
          <w:bCs/>
          <w:kern w:val="0"/>
          <w:sz w:val="24"/>
        </w:rPr>
        <w:t>（2）行政管理硕士研究生</w:t>
      </w:r>
    </w:p>
    <w:p>
      <w:pPr>
        <w:widowControl/>
        <w:spacing w:before="156" w:beforeLines="50" w:line="360" w:lineRule="auto"/>
        <w:ind w:firstLine="480" w:firstLineChars="200"/>
        <w:jc w:val="left"/>
        <w:rPr>
          <w:rFonts w:ascii="宋体" w:cs="宋体"/>
          <w:bCs/>
          <w:kern w:val="0"/>
          <w:sz w:val="24"/>
        </w:rPr>
      </w:pPr>
      <w:r>
        <w:rPr>
          <w:rFonts w:hint="eastAsia" w:ascii="宋体" w:hAnsi="宋体" w:cs="宋体"/>
          <w:bCs/>
          <w:kern w:val="0"/>
          <w:sz w:val="24"/>
        </w:rPr>
        <w:t>（3）行政管理与公共事业管理专业高年级本科生</w:t>
      </w:r>
    </w:p>
    <w:p>
      <w:pPr>
        <w:widowControl/>
        <w:spacing w:before="156" w:beforeLines="50" w:line="360" w:lineRule="auto"/>
        <w:jc w:val="left"/>
        <w:rPr>
          <w:rFonts w:hint="eastAsia" w:ascii="宋体" w:hAnsi="宋体" w:cs="宋体"/>
          <w:b/>
          <w:kern w:val="0"/>
          <w:sz w:val="24"/>
        </w:rPr>
      </w:pPr>
      <w:r>
        <w:rPr>
          <w:rFonts w:hint="eastAsia" w:ascii="宋体" w:hAnsi="宋体" w:cs="宋体"/>
          <w:b/>
          <w:kern w:val="0"/>
          <w:sz w:val="24"/>
        </w:rPr>
        <w:t>三、教学目标：</w:t>
      </w:r>
    </w:p>
    <w:p>
      <w:pPr>
        <w:widowControl/>
        <w:spacing w:before="156" w:beforeLines="50" w:line="360" w:lineRule="auto"/>
        <w:ind w:firstLine="480" w:firstLineChars="200"/>
        <w:jc w:val="left"/>
        <w:rPr>
          <w:rFonts w:hint="eastAsia" w:ascii="宋体" w:hAnsi="宋体" w:cs="宋体"/>
          <w:bCs/>
          <w:kern w:val="0"/>
          <w:sz w:val="24"/>
        </w:rPr>
      </w:pPr>
      <w:r>
        <w:rPr>
          <w:rFonts w:hint="eastAsia" w:ascii="宋体" w:hAnsi="宋体" w:cs="宋体"/>
          <w:bCs/>
          <w:kern w:val="0"/>
          <w:sz w:val="24"/>
        </w:rPr>
        <w:t>1、通过案例认知，引导学生对政府与市场关系典型案例的背景资料和时代特征进行正确研判，把握新时期对地方政府与市场关系的边界移动和关系形态变化特征，使学生能够准确地提出和描述问题。</w:t>
      </w:r>
    </w:p>
    <w:p>
      <w:pPr>
        <w:widowControl/>
        <w:spacing w:before="156" w:beforeLines="50" w:line="360" w:lineRule="auto"/>
        <w:ind w:firstLine="480" w:firstLineChars="200"/>
        <w:jc w:val="left"/>
        <w:rPr>
          <w:rFonts w:hint="eastAsia" w:ascii="宋体" w:hAnsi="宋体" w:cs="宋体"/>
          <w:bCs/>
          <w:kern w:val="0"/>
          <w:sz w:val="24"/>
        </w:rPr>
      </w:pPr>
      <w:r>
        <w:rPr>
          <w:rFonts w:hint="eastAsia" w:ascii="宋体" w:hAnsi="宋体" w:cs="宋体"/>
          <w:bCs/>
          <w:kern w:val="0"/>
          <w:sz w:val="24"/>
        </w:rPr>
        <w:t>2、通过案例剖析，引导学生归结新余政府施救赛维LDK的动因和策略及得失，帮助学生掌握灵活运用分析方法和手段的技能，使学生能够正确地分析问题。</w:t>
      </w:r>
    </w:p>
    <w:p>
      <w:pPr>
        <w:widowControl/>
        <w:spacing w:before="156" w:beforeLines="50" w:line="360" w:lineRule="auto"/>
        <w:ind w:firstLine="480" w:firstLineChars="200"/>
        <w:jc w:val="left"/>
        <w:rPr>
          <w:rFonts w:hint="eastAsia" w:ascii="宋体" w:hAnsi="宋体" w:cs="宋体"/>
          <w:bCs/>
          <w:kern w:val="0"/>
          <w:sz w:val="24"/>
        </w:rPr>
      </w:pPr>
      <w:r>
        <w:rPr>
          <w:rFonts w:hint="eastAsia" w:ascii="宋体" w:hAnsi="宋体" w:cs="宋体"/>
          <w:bCs/>
          <w:kern w:val="0"/>
          <w:sz w:val="24"/>
        </w:rPr>
        <w:t>3、通过案例诊治，引导学生运用脑力风暴和辩论形成化解地方政府与市场主体利益捆绑的策略和方法，帮助学生形成集体讨论、集中智慧、消除分歧、理性并有效地解决问题。</w:t>
      </w:r>
    </w:p>
    <w:p>
      <w:pPr>
        <w:widowControl/>
        <w:spacing w:before="156" w:beforeLines="50" w:line="360" w:lineRule="auto"/>
        <w:jc w:val="left"/>
        <w:rPr>
          <w:rFonts w:hint="eastAsia" w:ascii="宋体" w:hAnsi="宋体" w:cs="宋体"/>
          <w:b/>
          <w:kern w:val="0"/>
          <w:sz w:val="28"/>
          <w:szCs w:val="28"/>
        </w:rPr>
      </w:pPr>
    </w:p>
    <w:p>
      <w:pPr>
        <w:widowControl/>
        <w:spacing w:before="156" w:beforeLines="50" w:line="360" w:lineRule="auto"/>
        <w:jc w:val="left"/>
        <w:rPr>
          <w:rFonts w:hint="eastAsia" w:ascii="宋体" w:hAnsi="宋体" w:cs="宋体"/>
          <w:b/>
          <w:kern w:val="0"/>
          <w:sz w:val="28"/>
          <w:szCs w:val="28"/>
        </w:rPr>
      </w:pPr>
      <w:r>
        <w:rPr>
          <w:rFonts w:hint="eastAsia" w:ascii="宋体" w:hAnsi="宋体" w:cs="宋体"/>
          <w:b/>
          <w:kern w:val="0"/>
          <w:sz w:val="28"/>
          <w:szCs w:val="28"/>
        </w:rPr>
        <w:t>四</w:t>
      </w:r>
      <w:r>
        <w:rPr>
          <w:rFonts w:hint="eastAsia" w:ascii="宋体" w:cs="宋体"/>
          <w:b/>
          <w:kern w:val="0"/>
          <w:sz w:val="28"/>
          <w:szCs w:val="28"/>
        </w:rPr>
        <w:t>、</w:t>
      </w:r>
      <w:r>
        <w:rPr>
          <w:rFonts w:hint="eastAsia" w:ascii="宋体" w:hAnsi="宋体" w:cs="宋体"/>
          <w:b/>
          <w:kern w:val="0"/>
          <w:sz w:val="28"/>
          <w:szCs w:val="28"/>
        </w:rPr>
        <w:t>要点分析：</w:t>
      </w:r>
    </w:p>
    <w:p>
      <w:pPr>
        <w:widowControl/>
        <w:spacing w:before="156" w:beforeLines="50" w:line="360" w:lineRule="auto"/>
        <w:ind w:firstLine="562" w:firstLineChars="200"/>
        <w:jc w:val="left"/>
        <w:rPr>
          <w:rFonts w:hint="eastAsia" w:ascii="宋体" w:hAnsi="宋体" w:cs="宋体"/>
          <w:b/>
          <w:kern w:val="0"/>
          <w:sz w:val="28"/>
          <w:szCs w:val="28"/>
        </w:rPr>
      </w:pPr>
      <w:r>
        <w:rPr>
          <w:rFonts w:hint="eastAsia" w:ascii="宋体" w:hAnsi="宋体" w:cs="宋体"/>
          <w:b/>
          <w:kern w:val="0"/>
          <w:sz w:val="28"/>
          <w:szCs w:val="28"/>
        </w:rPr>
        <w:t>1、新余政府为何要施救赛维？</w:t>
      </w:r>
    </w:p>
    <w:p>
      <w:pPr>
        <w:wordWrap w:val="0"/>
        <w:autoSpaceDN w:val="0"/>
        <w:spacing w:line="375" w:lineRule="atLeast"/>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（1）利益捆绑的结果</w:t>
      </w:r>
    </w:p>
    <w:p>
      <w:pPr>
        <w:spacing w:line="360" w:lineRule="auto"/>
        <w:ind w:firstLine="480" w:firstLineChars="200"/>
        <w:rPr>
          <w:color w:val="000000"/>
          <w:sz w:val="24"/>
        </w:rPr>
      </w:pPr>
      <w:r>
        <w:rPr>
          <w:rFonts w:hint="eastAsia"/>
          <w:color w:val="000000"/>
          <w:sz w:val="24"/>
        </w:rPr>
        <w:t>在地方政府与企业利益捆绑模式形成后，两者形成一个相对稳定的博弈共生互惠关系，企业为地方政府缴纳税收，政府为企业提供政策优惠。尤其在企业成长和扩张时期，这一捆绑模式不断强化。以赛维的银行贷款为例，部分贷款都跟地方政府的协助和隐形担保有关，从而更是将两者直接地牢牢的绑在一起。政府和市场博弈共生互惠关系存在的基础在于以下两个方面：一是分税制改革后，地方政府扩大财政收入的动力更加强劲，招商引资的冲动更加剧烈。同时中央给予地方政府更多的经济自主权，地方政府在制定本地区招商引资政策中拥有更多的弹性空间。此外，“唯GDP论英雄”的政绩考核强化了地方政府干预市场的意识。这些因素共同造成了地方政府对于招商引资乐此不彼，对于企业处处迁就。二是在拉动经济发展的三驾马车中，消费一直难以支撑中西部地区的经济增长，地方政府经济发展主要依靠投资和外贸，出口和投资都要依靠企业，企业的发展对于当地经济发展、就业促进和政府财政收入都有很大的推动作用。因此，企业的发展可以获得政府的很多支持，彼此之间相互依存。</w:t>
      </w:r>
    </w:p>
    <w:p>
      <w:pPr>
        <w:wordWrap w:val="0"/>
        <w:autoSpaceDN w:val="0"/>
        <w:spacing w:line="360" w:lineRule="auto"/>
        <w:ind w:firstLine="480" w:firstLineChars="200"/>
        <w:jc w:val="left"/>
        <w:rPr>
          <w:color w:val="000000"/>
          <w:sz w:val="24"/>
        </w:rPr>
      </w:pPr>
      <w:r>
        <w:rPr>
          <w:rFonts w:hint="eastAsia" w:ascii="宋体" w:hAnsi="宋体" w:cs="宋体"/>
          <w:color w:val="000000"/>
          <w:kern w:val="0"/>
          <w:sz w:val="24"/>
        </w:rPr>
        <w:t>从赛维LDK在新余的经济地位看：以赛维为核心的光伏企业快速集聚，使得新余市“一钢独大”的产业格局得到根本性扭转，一跃成为江西经济发展最快的城市，光伏产业成为拉动地方经济发展的新引擎。2005年7月成立的江西赛维LDK是专门从事太阳能硅片生产和高纯度多晶硅及太阳能组件制造的光伏企业。2008年，赛维LDK</w:t>
      </w:r>
      <w:r>
        <w:rPr>
          <w:rFonts w:ascii="宋体" w:hAnsi="宋体" w:cs="宋体"/>
          <w:color w:val="000000"/>
          <w:kern w:val="0"/>
          <w:sz w:val="24"/>
        </w:rPr>
        <w:t>实现销售收入突破120亿元，</w:t>
      </w:r>
      <w:r>
        <w:rPr>
          <w:rFonts w:hint="eastAsia" w:ascii="宋体" w:hAnsi="宋体" w:cs="宋体"/>
          <w:color w:val="000000"/>
          <w:kern w:val="0"/>
          <w:sz w:val="24"/>
        </w:rPr>
        <w:t>全年上缴利税2.8亿元，</w:t>
      </w:r>
      <w:r>
        <w:rPr>
          <w:rFonts w:ascii="宋体" w:hAnsi="宋体" w:cs="宋体"/>
          <w:color w:val="000000"/>
          <w:kern w:val="0"/>
          <w:sz w:val="24"/>
        </w:rPr>
        <w:t>成为最年轻的中国企业500强，中国科技十强企业，也是江西唯一销售收入过百亿的民营高科技企业</w:t>
      </w:r>
      <w:r>
        <w:rPr>
          <w:rFonts w:hint="eastAsia" w:ascii="宋体" w:hAnsi="宋体" w:cs="宋体"/>
          <w:color w:val="000000"/>
          <w:kern w:val="0"/>
          <w:sz w:val="24"/>
        </w:rPr>
        <w:t>。到2011年，仅赛维一家企业上缴税收13.6亿元，超过新余钢铁，成为新余市财政贡献第一大户。</w:t>
      </w:r>
      <w:r>
        <w:rPr>
          <w:rFonts w:hint="eastAsia" w:ascii="Arial" w:hAnsi="宋体"/>
          <w:color w:val="000000"/>
          <w:sz w:val="24"/>
          <w:szCs w:val="28"/>
        </w:rPr>
        <w:t>就经济地位而言，其在新余经济未规划中扮演着更加重要的角色，可以说赛维承载了新余未来经济转型和升级的希望。新余市相关领导称：“</w:t>
      </w:r>
      <w:r>
        <w:rPr>
          <w:rFonts w:ascii="Arial" w:hAnsi="宋体"/>
          <w:color w:val="000000"/>
          <w:sz w:val="24"/>
          <w:szCs w:val="28"/>
        </w:rPr>
        <w:t>江西赛维LDK是快速成长于新余市的高科技型企业的典型代表，是新余市政企合力创大业的成功典范。</w:t>
      </w:r>
      <w:r>
        <w:rPr>
          <w:rFonts w:hint="eastAsia" w:ascii="Arial" w:hAnsi="宋体"/>
          <w:color w:val="000000"/>
          <w:sz w:val="24"/>
          <w:szCs w:val="28"/>
        </w:rPr>
        <w:t>”</w:t>
      </w:r>
      <w:r>
        <w:rPr>
          <w:rFonts w:hint="eastAsia" w:ascii="Arial" w:hAnsi="宋体"/>
          <w:bCs/>
          <w:color w:val="000000"/>
          <w:sz w:val="24"/>
          <w:szCs w:val="28"/>
        </w:rPr>
        <w:t xml:space="preserve"> 这样一家明星企业对于新余乃至江西来说，都具有强大的社会影响。从赛维的社会影响看：</w:t>
      </w:r>
      <w:r>
        <w:rPr>
          <w:rFonts w:hint="eastAsia" w:ascii="Arial" w:hAnsi="宋体"/>
          <w:color w:val="000000"/>
          <w:sz w:val="24"/>
          <w:szCs w:val="28"/>
        </w:rPr>
        <w:t>赛维一度成为新余第一就业大户，2011赛维员工规模3.2万人；同</w:t>
      </w:r>
      <w:r>
        <w:rPr>
          <w:rFonts w:hint="eastAsia" w:ascii="宋体" w:hAnsi="宋体" w:cs="宋体"/>
          <w:color w:val="000000"/>
          <w:sz w:val="24"/>
          <w:szCs w:val="28"/>
        </w:rPr>
        <w:t>年新余另一支柱性企业—新余钢铁集团员工规模为25000人，到2011年，赛维的员工规模为30000人，安置就业人员占新余全市从业人员的5.17%，超过新余钢铁，成为新余市安置就业人数最多的企业。</w:t>
      </w:r>
      <w:r>
        <w:rPr>
          <w:rFonts w:hint="eastAsia"/>
          <w:color w:val="000000"/>
          <w:sz w:val="24"/>
        </w:rPr>
        <w:t xml:space="preserve"> 从政治和国际影响看：</w:t>
      </w:r>
      <w:r>
        <w:rPr>
          <w:rFonts w:hint="eastAsia" w:ascii="Arial" w:hAnsi="宋体"/>
          <w:color w:val="000000"/>
          <w:sz w:val="24"/>
          <w:szCs w:val="28"/>
        </w:rPr>
        <w:t xml:space="preserve"> 2007年6月6日，赛维在美国纽约证交所上市，这是中国新能源领域最大的一次IPO，也是中国企业在美国单一发行最大的一次IPO，同时还是江西省企业中第一家在美国上市的企业，。赛维LDK在美国上市时，江西省省长吴新雄、新余市市委书记汪德和和赛维创始人彭小峰一起前往纽约见证开盘，赛维在江西省和新余市的社会影响力可见一斑。</w:t>
      </w:r>
    </w:p>
    <w:p>
      <w:pPr>
        <w:wordWrap w:val="0"/>
        <w:autoSpaceDN w:val="0"/>
        <w:spacing w:line="360" w:lineRule="auto"/>
        <w:ind w:firstLine="482" w:firstLineChars="200"/>
        <w:jc w:val="left"/>
        <w:rPr>
          <w:rFonts w:hint="eastAsia"/>
          <w:b/>
          <w:bCs/>
          <w:sz w:val="24"/>
        </w:rPr>
      </w:pPr>
      <w:r>
        <w:rPr>
          <w:rFonts w:hint="eastAsia"/>
          <w:b/>
          <w:bCs/>
          <w:sz w:val="24"/>
        </w:rPr>
        <w:t>（2）博弈策略的必然选择</w:t>
      </w:r>
    </w:p>
    <w:p>
      <w:pPr>
        <w:wordWrap w:val="0"/>
        <w:autoSpaceDN w:val="0"/>
        <w:spacing w:line="360" w:lineRule="auto"/>
        <w:ind w:firstLine="480" w:firstLineChars="200"/>
        <w:jc w:val="left"/>
        <w:rPr>
          <w:rFonts w:hint="eastAsia"/>
          <w:sz w:val="24"/>
        </w:rPr>
      </w:pPr>
      <w:r>
        <w:rPr>
          <w:rFonts w:hint="eastAsia"/>
          <w:sz w:val="24"/>
        </w:rPr>
        <w:t>在当地骨干企业处于逆境中时，尤其当这个企业的兴衰直接影响当地经济的发展和社会稳定时，地方政府出于政治、经济、社会多重因素考虑会毅然伸出援手。不仅对国有企业如此，当一家民营企业承担了巨大的经济社会责任，并占据重要的地位时，也是需要施救的。然而直接施救单一民营企业这一行为超出了政府的职能范围，不仅涉及合法性，还涉及公平性，不可避免的会受到很多舆论的压力。同时政府施救企业需要付出很多的经济成本，一旦救援失败，政府将一并受到牵连。企业在接受政府救援过程中也是持相对谨慎态度的，不接受救援使得企业破产风险加大，接受救援使得企业的自主性降低，甚至将改变企业的所有制性质。</w:t>
      </w:r>
    </w:p>
    <w:p>
      <w:pPr>
        <w:wordWrap w:val="0"/>
        <w:autoSpaceDN w:val="0"/>
        <w:spacing w:line="360" w:lineRule="auto"/>
        <w:ind w:firstLine="480" w:firstLineChars="200"/>
        <w:jc w:val="left"/>
        <w:rPr>
          <w:rFonts w:hint="eastAsia"/>
          <w:sz w:val="24"/>
        </w:rPr>
      </w:pPr>
      <w:r>
        <w:rPr>
          <w:rFonts w:hint="eastAsia"/>
          <w:sz w:val="24"/>
        </w:rPr>
        <w:t>以赛维为例，在接受政府救助后，其决策层中拥有国资背景的人员增加，国有化色彩更加浓厚。在这个背景下，可以构造逆境中政府与市场的动态博弈模型，在这个博弈模型中，企业处于逆境之中，面临破产的风险，地方政府有两种策略选择，救助企业和放任其破产，企业也有两种策略选择，接受救助和不接受救助。</w:t>
      </w:r>
    </w:p>
    <w:p>
      <w:pPr>
        <w:spacing w:line="360" w:lineRule="auto"/>
        <w:ind w:firstLine="720" w:firstLineChars="300"/>
        <w:rPr>
          <w:rFonts w:hint="eastAsia"/>
          <w:sz w:val="24"/>
        </w:rPr>
      </w:pPr>
      <w:r>
        <w:rPr>
          <w:rFonts w:hint="eastAsia"/>
          <w:sz w:val="24"/>
        </w:rPr>
        <w:t xml:space="preserve">         </w:t>
      </w:r>
    </w:p>
    <w:p>
      <w:pPr>
        <w:spacing w:line="360" w:lineRule="auto"/>
        <w:ind w:firstLine="720" w:firstLineChars="300"/>
        <w:jc w:val="center"/>
        <w:rPr>
          <w:sz w:val="24"/>
        </w:rPr>
      </w:pPr>
      <w:r>
        <w:rPr>
          <w:rFonts w:hint="eastAsia"/>
          <w:sz w:val="24"/>
        </w:rPr>
        <w:t>表1逆境中政府与市场主体的动态博弈策略分析</w:t>
      </w:r>
    </w:p>
    <w:p>
      <w:pPr>
        <w:spacing w:line="360" w:lineRule="auto"/>
        <w:jc w:val="left"/>
        <w:rPr>
          <w:rFonts w:hint="eastAsia" w:ascii="楷体" w:hAnsi="楷体" w:eastAsia="楷体" w:cs="楷体"/>
          <w:b/>
          <w:bCs/>
          <w:sz w:val="24"/>
        </w:rPr>
      </w:pPr>
      <w:r>
        <w:rPr>
          <w:rFonts w:hint="eastAsia"/>
          <w:sz w:val="24"/>
        </w:rPr>
        <w:t xml:space="preserve">                                </w:t>
      </w:r>
      <w:r>
        <w:rPr>
          <w:rFonts w:hint="eastAsia" w:ascii="楷体" w:hAnsi="楷体" w:eastAsia="楷体" w:cs="楷体"/>
          <w:b/>
          <w:bCs/>
          <w:sz w:val="24"/>
        </w:rPr>
        <w:t>地 方 政 府</w:t>
      </w:r>
    </w:p>
    <w:p>
      <w:pPr>
        <w:spacing w:line="360" w:lineRule="auto"/>
        <w:jc w:val="left"/>
        <w:rPr>
          <w:szCs w:val="21"/>
        </w:rPr>
      </w:pPr>
      <w:r>
        <w:rPr>
          <w:rFonts w:hint="eastAsia"/>
          <w:sz w:val="24"/>
        </w:rPr>
        <w:t xml:space="preserve">   </w:t>
      </w:r>
      <w:r>
        <w:rPr>
          <w:rFonts w:hint="eastAsia"/>
          <w:szCs w:val="21"/>
        </w:rPr>
        <w:t xml:space="preserve">                       策略B1（救助）              策略B2（不救助）</w:t>
      </w:r>
    </w:p>
    <w:p>
      <w:pPr>
        <w:spacing w:line="360" w:lineRule="auto"/>
        <w:jc w:val="left"/>
        <w:rPr>
          <w:szCs w:val="21"/>
        </w:rPr>
      </w:pPr>
      <w:r>
        <w:rPr>
          <w:rFonts w:hint="eastAsia" w:ascii="楷体" w:hAnsi="楷体" w:eastAsia="楷体" w:cs="楷体"/>
          <w:szCs w:val="21"/>
        </w:rPr>
        <w:t xml:space="preserve">   地</w:t>
      </w:r>
      <w:r>
        <w:rPr>
          <w:rFonts w:hint="eastAsia"/>
          <w:szCs w:val="21"/>
        </w:rPr>
        <w:t xml:space="preserve">          策略A1</w:t>
      </w:r>
    </w:p>
    <w:p>
      <w:pPr>
        <w:spacing w:line="360" w:lineRule="auto"/>
        <w:jc w:val="left"/>
        <w:rPr>
          <w:szCs w:val="21"/>
        </w:rPr>
      </w:pPr>
      <w:r>
        <w:rPr>
          <w:rFonts w:hint="eastAsia" w:ascii="楷体" w:hAnsi="楷体" w:eastAsia="楷体" w:cs="楷体"/>
          <w:szCs w:val="21"/>
        </w:rPr>
        <w:t xml:space="preserve">   方</w:t>
      </w:r>
      <w:r>
        <w:rPr>
          <w:rFonts w:hint="eastAsia"/>
          <w:szCs w:val="21"/>
        </w:rPr>
        <w:t xml:space="preserve">      （不接受救助）    C，-D                         -E  ,0</w:t>
      </w:r>
    </w:p>
    <w:p>
      <w:pPr>
        <w:spacing w:line="360" w:lineRule="auto"/>
        <w:jc w:val="left"/>
        <w:rPr>
          <w:szCs w:val="21"/>
        </w:rPr>
      </w:pPr>
      <w:r>
        <w:rPr>
          <w:rFonts w:hint="eastAsia" w:ascii="楷体" w:hAnsi="楷体" w:eastAsia="楷体" w:cs="楷体"/>
          <w:b/>
          <w:bCs/>
          <w:szCs w:val="21"/>
        </w:rPr>
        <w:t xml:space="preserve">   企</w:t>
      </w:r>
      <w:r>
        <w:rPr>
          <w:rFonts w:hint="eastAsia"/>
          <w:szCs w:val="21"/>
        </w:rPr>
        <w:t xml:space="preserve">         策略A2</w:t>
      </w:r>
    </w:p>
    <w:p>
      <w:pPr>
        <w:spacing w:line="360" w:lineRule="auto"/>
        <w:jc w:val="left"/>
        <w:rPr>
          <w:szCs w:val="21"/>
        </w:rPr>
      </w:pPr>
      <w:r>
        <w:rPr>
          <w:rFonts w:hint="eastAsia" w:ascii="楷体" w:hAnsi="楷体" w:eastAsia="楷体" w:cs="楷体"/>
          <w:b/>
          <w:bCs/>
          <w:szCs w:val="21"/>
        </w:rPr>
        <w:t xml:space="preserve">   业</w:t>
      </w:r>
      <w:r>
        <w:rPr>
          <w:rFonts w:hint="eastAsia"/>
          <w:szCs w:val="21"/>
        </w:rPr>
        <w:t xml:space="preserve">       （接受救助）      0,  F                          0,  0</w:t>
      </w:r>
    </w:p>
    <w:p>
      <w:pPr>
        <w:spacing w:line="360" w:lineRule="auto"/>
        <w:ind w:firstLine="420" w:firstLineChars="200"/>
        <w:jc w:val="left"/>
        <w:rPr>
          <w:rFonts w:hint="eastAsia"/>
          <w:szCs w:val="21"/>
        </w:rPr>
      </w:pPr>
    </w:p>
    <w:p>
      <w:pPr>
        <w:spacing w:line="360" w:lineRule="auto"/>
        <w:ind w:firstLine="480" w:firstLineChars="200"/>
        <w:rPr>
          <w:sz w:val="24"/>
        </w:rPr>
      </w:pPr>
      <w:r>
        <w:rPr>
          <w:rFonts w:hint="eastAsia"/>
          <w:sz w:val="24"/>
        </w:rPr>
        <w:t>通过对表1中数字的分析，可以得出，博弈不存在纯策略纳什均衡，只存在混合纳什均衡，采用支付均衡化分析方法，可以计算出地方政府采取策略B1和策略B2的概率，以及当地企业采取策略A1和策略A2的概率。当企业选择不接受救助的概率P</w:t>
      </w:r>
      <w:r>
        <w:rPr>
          <w:rFonts w:hint="eastAsia"/>
          <w:sz w:val="15"/>
          <w:szCs w:val="15"/>
        </w:rPr>
        <w:t>A1</w:t>
      </w:r>
      <w:r>
        <w:rPr>
          <w:rFonts w:hint="eastAsia"/>
          <w:sz w:val="24"/>
        </w:rPr>
        <w:t>&gt;F/(F+D)时，地方政府将采取策略B2，当企业选择不接受救助的概率P</w:t>
      </w:r>
      <w:r>
        <w:rPr>
          <w:rFonts w:hint="eastAsia"/>
          <w:sz w:val="15"/>
          <w:szCs w:val="15"/>
        </w:rPr>
        <w:t>A1</w:t>
      </w:r>
      <w:r>
        <w:rPr>
          <w:rFonts w:hint="eastAsia"/>
          <w:sz w:val="24"/>
        </w:rPr>
        <w:t>&lt;F/(F+D)时，地方政府将采取策略B1。当地方政府选择救助的概率P</w:t>
      </w:r>
      <w:r>
        <w:rPr>
          <w:rFonts w:hint="eastAsia"/>
          <w:sz w:val="15"/>
          <w:szCs w:val="15"/>
        </w:rPr>
        <w:t>B1</w:t>
      </w:r>
      <w:r>
        <w:rPr>
          <w:rFonts w:hint="eastAsia"/>
          <w:sz w:val="24"/>
        </w:rPr>
        <w:t>&gt;E/(E+C)时，企业将选择策略A2接受救助，当政府选择救助的概率P</w:t>
      </w:r>
      <w:r>
        <w:rPr>
          <w:rFonts w:hint="eastAsia"/>
          <w:sz w:val="15"/>
          <w:szCs w:val="15"/>
        </w:rPr>
        <w:t>B1</w:t>
      </w:r>
      <w:r>
        <w:rPr>
          <w:rFonts w:hint="eastAsia"/>
          <w:sz w:val="24"/>
        </w:rPr>
        <w:t>&lt;E/(E+C)时，企业将选择策略A1不接受救助。</w:t>
      </w:r>
    </w:p>
    <w:p>
      <w:pPr>
        <w:wordWrap w:val="0"/>
        <w:autoSpaceDN w:val="0"/>
        <w:spacing w:line="360" w:lineRule="auto"/>
        <w:ind w:firstLine="480" w:firstLineChars="200"/>
        <w:jc w:val="left"/>
        <w:rPr>
          <w:rFonts w:hint="eastAsia"/>
          <w:b/>
          <w:color w:val="000000"/>
          <w:sz w:val="24"/>
        </w:rPr>
      </w:pPr>
      <w:r>
        <w:rPr>
          <w:rFonts w:hint="eastAsia"/>
          <w:sz w:val="24"/>
        </w:rPr>
        <w:t>从上述分析可以看出，企业在考虑是否接受地方政府救助和接受何种形式的救助时，会考虑C和E，即接受政府救助会给企业带来的好处和接受政府救助需要付出的代价。在面临企业能够自行应对的危机时，企业愿意选择市场融资、缩减企业规模等方式来进行自救，因为这些行为不需要企业承担自身责任以外的政治责任和社会责任。然而，在企业所面临的危机已经远远超过其自身所能承受的范围时，接受地方政府救助无疑是其最优的选择，政府所拥有的公共资源可以很大程度上保证企业的生存。由于政府不是自负盈亏的企业，政府的救助很大程度上来源于当地的财政收入和政府公共权力的使用，政府在救助企业时不得不承担很大的政治责任和社会压力，这使得政府在救助企业时相对慎重。但是在我国国情下，地方政府在地方经济发展中发挥着非常重要的作用，地方经济的发展水平是衡量当地官员晋升的重要指标，因此，地方政府施救企业的动力很大。</w:t>
      </w:r>
    </w:p>
    <w:p>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2、新余用财政资金是否妥当？</w:t>
      </w:r>
    </w:p>
    <w:p>
      <w:pPr>
        <w:spacing w:line="360" w:lineRule="auto"/>
        <w:ind w:firstLine="480" w:firstLineChars="200"/>
        <w:rPr>
          <w:rFonts w:hint="eastAsia"/>
          <w:sz w:val="24"/>
        </w:rPr>
      </w:pPr>
      <w:r>
        <w:rPr>
          <w:rFonts w:hint="eastAsia"/>
          <w:sz w:val="24"/>
        </w:rPr>
        <w:t xml:space="preserve"> 本部分从法理与情理和利益的角度分别进行分析，没有绝对的判断标准和结论：</w:t>
      </w:r>
    </w:p>
    <w:p>
      <w:pPr>
        <w:spacing w:line="360" w:lineRule="auto"/>
        <w:ind w:firstLine="480" w:firstLineChars="200"/>
        <w:rPr>
          <w:rFonts w:hint="eastAsia"/>
          <w:sz w:val="24"/>
        </w:rPr>
      </w:pPr>
      <w:r>
        <w:rPr>
          <w:rFonts w:hint="eastAsia"/>
          <w:sz w:val="24"/>
        </w:rPr>
        <w:t>（1）履行了法定程序。经过了人大讨论并通过，因此具有法律上的效力。</w:t>
      </w:r>
    </w:p>
    <w:p>
      <w:pPr>
        <w:spacing w:line="360" w:lineRule="auto"/>
        <w:ind w:firstLine="480" w:firstLineChars="200"/>
        <w:rPr>
          <w:rFonts w:hint="eastAsia"/>
          <w:sz w:val="24"/>
        </w:rPr>
      </w:pPr>
      <w:r>
        <w:rPr>
          <w:rFonts w:hint="eastAsia"/>
          <w:sz w:val="24"/>
        </w:rPr>
        <w:t>（2）模糊的法律边界。虽然法律有原则性的规定，政府财政资金替企业还债有明确的条件，但是比较笼统而且给地方政府留下操作的模糊地带。</w:t>
      </w:r>
    </w:p>
    <w:p>
      <w:pPr>
        <w:spacing w:line="360" w:lineRule="auto"/>
        <w:ind w:firstLine="480" w:firstLineChars="200"/>
        <w:rPr>
          <w:rFonts w:hint="eastAsia"/>
          <w:sz w:val="24"/>
        </w:rPr>
      </w:pPr>
      <w:r>
        <w:rPr>
          <w:rFonts w:hint="eastAsia"/>
          <w:sz w:val="24"/>
        </w:rPr>
        <w:t>（3）政策制定不是唯上而是唯实，一切从实际出发，根据博弈的最优策略出牌。</w:t>
      </w:r>
    </w:p>
    <w:p>
      <w:pPr>
        <w:spacing w:line="360" w:lineRule="auto"/>
        <w:ind w:firstLine="480" w:firstLineChars="200"/>
        <w:rPr>
          <w:rFonts w:hint="eastAsia"/>
          <w:sz w:val="24"/>
        </w:rPr>
      </w:pPr>
      <w:r>
        <w:rPr>
          <w:rFonts w:hint="eastAsia"/>
          <w:sz w:val="24"/>
        </w:rPr>
        <w:t>（4）留下不救余地。明确了垫付资金，以资产做担保。通过后续的不救措施，实施了国有化，也就是从法理和合规性等方面规避了政府违法的进一步追究。</w:t>
      </w:r>
    </w:p>
    <w:p>
      <w:pPr>
        <w:spacing w:line="360" w:lineRule="auto"/>
        <w:ind w:firstLine="562" w:firstLineChars="200"/>
        <w:rPr>
          <w:rFonts w:hint="eastAsia"/>
          <w:b/>
          <w:bCs/>
          <w:sz w:val="28"/>
          <w:szCs w:val="28"/>
        </w:rPr>
      </w:pPr>
    </w:p>
    <w:p>
      <w:pPr>
        <w:spacing w:line="360" w:lineRule="auto"/>
        <w:ind w:firstLine="562" w:firstLineChars="200"/>
        <w:rPr>
          <w:rFonts w:hint="eastAsia"/>
          <w:b/>
          <w:bCs/>
          <w:sz w:val="28"/>
          <w:szCs w:val="28"/>
        </w:rPr>
      </w:pPr>
      <w:r>
        <w:rPr>
          <w:rFonts w:hint="eastAsia"/>
          <w:b/>
          <w:bCs/>
          <w:sz w:val="28"/>
          <w:szCs w:val="28"/>
        </w:rPr>
        <w:t>3、政府与市场主体利益捆绑的生成机制是什么？</w:t>
      </w:r>
    </w:p>
    <w:p>
      <w:pPr>
        <w:spacing w:line="360" w:lineRule="auto"/>
        <w:ind w:firstLine="482" w:firstLineChars="200"/>
        <w:rPr>
          <w:rFonts w:hint="eastAsia"/>
          <w:b/>
          <w:bCs/>
          <w:sz w:val="24"/>
        </w:rPr>
      </w:pPr>
      <w:r>
        <w:rPr>
          <w:rFonts w:hint="eastAsia"/>
          <w:b/>
          <w:bCs/>
          <w:sz w:val="24"/>
        </w:rPr>
        <w:t>（1）追赶发展模式是政企利益捆绑的潜在推手</w:t>
      </w:r>
    </w:p>
    <w:p>
      <w:pPr>
        <w:spacing w:line="360" w:lineRule="auto"/>
        <w:ind w:firstLine="480" w:firstLineChars="200"/>
        <w:rPr>
          <w:rFonts w:hint="eastAsia"/>
          <w:sz w:val="24"/>
        </w:rPr>
      </w:pPr>
      <w:r>
        <w:rPr>
          <w:rFonts w:hint="eastAsia"/>
          <w:sz w:val="24"/>
        </w:rPr>
        <w:t>在西方发达国家放松管制、恢复市场自由、鼓励贸易全球化的背景下，发展中国家却始终无法有效占据竞争的有利地位，面对国际市场竞争和国内欠发达状况的双重压力，出于国情的现实缘由，后发展国家的政策偏向于政府强力干预。强政府模式一直是后发展国家的选择。德国和日本等国依靠国家干预，主导经济发展，实现了工业化，在短期内实现了赶超。尤其是20世纪60年代以来，东亚国家韩国、新加坡等国家以国家主导的经济发展，成功创造了“东亚奇迹”。</w:t>
      </w:r>
      <w:r>
        <w:rPr>
          <w:rFonts w:hint="eastAsia"/>
          <w:sz w:val="24"/>
          <w:vertAlign w:val="superscript"/>
        </w:rPr>
        <w:t>[</w:t>
      </w:r>
      <w:r>
        <w:rPr>
          <w:rStyle w:val="5"/>
          <w:rFonts w:hint="eastAsia"/>
          <w:sz w:val="24"/>
        </w:rPr>
        <w:footnoteReference w:id="0"/>
      </w:r>
      <w:r>
        <w:rPr>
          <w:rFonts w:hint="eastAsia"/>
          <w:sz w:val="24"/>
          <w:vertAlign w:val="superscript"/>
        </w:rPr>
        <w:t>](PP1-3)</w:t>
      </w:r>
      <w:r>
        <w:rPr>
          <w:rFonts w:hint="eastAsia"/>
          <w:sz w:val="24"/>
        </w:rPr>
        <w:t>本质上，强政府干预是追赶型发展模式的一种区域间博弈的的必然策略。</w:t>
      </w:r>
    </w:p>
    <w:p>
      <w:pPr>
        <w:spacing w:line="360" w:lineRule="auto"/>
        <w:ind w:firstLine="480" w:firstLineChars="200"/>
        <w:rPr>
          <w:sz w:val="24"/>
        </w:rPr>
      </w:pPr>
      <w:r>
        <w:rPr>
          <w:rFonts w:hint="eastAsia"/>
          <w:sz w:val="24"/>
        </w:rPr>
        <w:t>改革开放后，我国高度管控的计划经济体制——强政府模式淡出历史舞台后，地方政府在发展经济上转而依靠外来投资和民间资本。但政府并没有放任自流，而是采取了“政府推动型模式”</w:t>
      </w:r>
      <w:r>
        <w:rPr>
          <w:rStyle w:val="5"/>
          <w:rFonts w:hint="eastAsia"/>
          <w:sz w:val="24"/>
        </w:rPr>
        <w:footnoteReference w:id="1"/>
      </w:r>
      <w:r>
        <w:rPr>
          <w:rFonts w:hint="eastAsia"/>
          <w:sz w:val="24"/>
        </w:rPr>
        <w:t>来主导经济社会发展。因为政府仍然掌控着土地、资源和市场甚至是银行贷款配置的强大权力。但是由于区域发展的不平衡，沿海地区由于政策支持得到快速发展，内地与沿海地区的经济差距不断拉大，区域之间的竞争导致政府的政策干预加深，而且同一区域的政府之间为发展经济进行竞赛。张五常认为，“区域间经济竞争造就中国经济奇迹。”[</w:t>
      </w:r>
      <w:r>
        <w:rPr>
          <w:rStyle w:val="5"/>
          <w:rFonts w:hint="eastAsia"/>
          <w:sz w:val="24"/>
        </w:rPr>
        <w:footnoteReference w:id="2"/>
      </w:r>
      <w:r>
        <w:rPr>
          <w:rFonts w:hint="eastAsia"/>
          <w:sz w:val="24"/>
        </w:rPr>
        <w:t>]而实际上，市县两级都是竞赛的关键主体。为了在经济竞争中获得优势，各地方政府在土地出让、基础设施建设、税收优惠、公共服务政策等很多方面展开激烈竞争，甚至出现不惜以产能过剩、牺牲环境为代价、动用本不充裕的财政资金补助企业的现象。显然，江西省和新余市追赶型的发展直接推动了引进赛维在内的企业的冲动，这种冲动不仅是对GDP的强烈偏好，对财政增长的渴求，而是快速改变江西欠发达现状的强烈诉求。</w:t>
      </w:r>
    </w:p>
    <w:p>
      <w:pPr>
        <w:spacing w:line="360" w:lineRule="auto"/>
        <w:ind w:firstLine="482" w:firstLineChars="200"/>
        <w:rPr>
          <w:rFonts w:hint="eastAsia" w:ascii="宋体" w:hAnsi="宋体"/>
          <w:b/>
          <w:bCs/>
          <w:sz w:val="24"/>
        </w:rPr>
      </w:pPr>
      <w:r>
        <w:rPr>
          <w:rFonts w:hint="eastAsia" w:ascii="宋体" w:hAnsi="宋体"/>
          <w:b/>
          <w:bCs/>
          <w:sz w:val="24"/>
        </w:rPr>
        <w:t>（2）府际之间的博弈是政企利益捆绑的基础条件</w:t>
      </w:r>
    </w:p>
    <w:p>
      <w:pPr>
        <w:spacing w:line="360" w:lineRule="auto"/>
        <w:ind w:firstLine="480" w:firstLineChars="200"/>
        <w:rPr>
          <w:sz w:val="24"/>
        </w:rPr>
      </w:pPr>
      <w:r>
        <w:rPr>
          <w:rFonts w:hint="eastAsia" w:ascii="宋体" w:hAnsi="宋体"/>
          <w:sz w:val="24"/>
        </w:rPr>
        <w:t>江西省作为欠发达地区要奋力实现在中部地区崛起，作为工业龙头之一的新余市不遗余力。对比各省的发展战略，湖南、湖北两型社会建设如火如荼、山西综合实验区整体推进，河南中原城市群呼之欲出，而安徽和江西两省提出要积极承接东部沿海地区产业转移。由于战略规划的同质性较大，各省市之间的经济竞争异常激烈。招商引资是促进地方经济发展的重要途径。</w:t>
      </w:r>
      <w:r>
        <w:rPr>
          <w:rFonts w:hint="eastAsia"/>
          <w:sz w:val="24"/>
        </w:rPr>
        <w:t xml:space="preserve">作为中国首屈一指的光伏巨头之一的赛维LDK 太阳能科技公司落户江西新余，是一个典型的地方经济竞争博弈的结果。在选址之初，江苏苏州由于其优越的地理位置和良好的经济环境成为赛维创始人彭小峰的首选。此外、青海、内蒙古等省份也向赛维抛出橄榄枝，其中青海省政府承诺给予赛维价格较为低廉的电力供应。而新余市政府以财政做担保，给予赛维2亿元人民币作为启动资金，并承诺给予赛维“全天候保姆式”的服务。最终，赛维选择了新余。 </w:t>
      </w:r>
    </w:p>
    <w:p>
      <w:pPr>
        <w:pStyle w:val="7"/>
        <w:spacing w:line="360" w:lineRule="auto"/>
        <w:ind w:firstLine="480"/>
        <w:rPr>
          <w:rFonts w:ascii="宋体" w:hAnsi="宋体"/>
          <w:sz w:val="24"/>
          <w:szCs w:val="24"/>
        </w:rPr>
      </w:pPr>
      <w:r>
        <w:rPr>
          <w:rFonts w:hint="eastAsia" w:ascii="宋体" w:hAnsi="宋体"/>
          <w:sz w:val="24"/>
          <w:szCs w:val="24"/>
        </w:rPr>
        <w:t>通过招商引资，地方政府可以吸引辖区内外资金、技术、人才等可流动性要素流入，在辖区内形成各种要素的集聚，从而推动地方经济获得优先发展，提高区域经济竞争力。当具有同质性的地方政府进行招商引资时，不可避免的将进行利益博弈。在竞争策略上地方政府主要有两种：第一种是通过优惠政策以降低投资方投资的成本或增加投资方的收益，例如税收优惠政策、土地优惠政策或者产业资助政策等。第二种是通过提高公共产品供给数量和质量，提高本地区的生产效率来吸引投资者。前者称之为优惠策略，后者称之为公共服务策略。有学者利用囚徒困境的模型建立了地方政府之间博弈的模型，解释了地方政府陷入地方主义泥淖的原因。</w:t>
      </w:r>
      <w:r>
        <w:rPr>
          <w:rStyle w:val="5"/>
          <w:rFonts w:hint="eastAsia" w:ascii="宋体" w:hAnsi="宋体"/>
          <w:sz w:val="24"/>
          <w:szCs w:val="24"/>
        </w:rPr>
        <w:footnoteReference w:id="3"/>
      </w:r>
    </w:p>
    <w:p>
      <w:pPr>
        <w:pStyle w:val="7"/>
        <w:spacing w:line="360" w:lineRule="auto"/>
        <w:ind w:firstLine="480"/>
        <w:rPr>
          <w:rFonts w:hint="eastAsia" w:ascii="宋体" w:hAnsi="宋体"/>
          <w:sz w:val="24"/>
          <w:szCs w:val="24"/>
        </w:rPr>
      </w:pPr>
      <w:r>
        <w:rPr>
          <w:rFonts w:hint="eastAsia" w:ascii="宋体" w:hAnsi="宋体"/>
          <w:sz w:val="24"/>
          <w:szCs w:val="24"/>
        </w:rPr>
        <w:t>假设没有中央政府对地方政府施加干预和影响，只有甲、乙两个地方政府为引进项目和资金进行竞争，建立如下的支付矩阵，从而分析政府政策和干预的策略选择：</w:t>
      </w:r>
    </w:p>
    <w:p>
      <w:pPr>
        <w:pStyle w:val="7"/>
        <w:spacing w:line="360" w:lineRule="auto"/>
        <w:ind w:firstLine="480"/>
        <w:jc w:val="center"/>
        <w:rPr>
          <w:rFonts w:hint="eastAsia" w:ascii="宋体" w:hAnsi="宋体"/>
          <w:sz w:val="24"/>
          <w:szCs w:val="24"/>
        </w:rPr>
      </w:pPr>
      <w:r>
        <w:rPr>
          <w:rFonts w:hint="eastAsia" w:ascii="宋体" w:hAnsi="宋体"/>
          <w:sz w:val="24"/>
          <w:szCs w:val="24"/>
        </w:rPr>
        <w:t>表 1 地方政府经济竞争的政策博弈策略</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46"/>
        <w:gridCol w:w="2547"/>
        <w:gridCol w:w="2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2546" w:type="dxa"/>
            <w:noWrap w:val="0"/>
            <w:vAlign w:val="top"/>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sz w:val="18"/>
                <w:szCs w:val="18"/>
              </w:rPr>
            </w:pPr>
            <w:r>
              <w:rPr>
                <w:rFonts w:ascii="宋体" w:hAnsi="宋体"/>
                <w:sz w:val="18"/>
                <w:szCs w:val="18"/>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24130</wp:posOffset>
                      </wp:positionV>
                      <wp:extent cx="1584325" cy="304165"/>
                      <wp:effectExtent l="635" t="4445" r="15240" b="15240"/>
                      <wp:wrapNone/>
                      <wp:docPr id="1" name="直接箭头连接符 1"/>
                      <wp:cNvGraphicFramePr/>
                      <a:graphic xmlns:a="http://schemas.openxmlformats.org/drawingml/2006/main">
                        <a:graphicData uri="http://schemas.microsoft.com/office/word/2010/wordprocessingShape">
                          <wps:wsp>
                            <wps:cNvCnPr/>
                            <wps:spPr>
                              <a:xfrm>
                                <a:off x="0" y="0"/>
                                <a:ext cx="1584325" cy="3041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35pt;margin-top:1.9pt;height:23.95pt;width:124.75pt;z-index:251659264;mso-width-relative:page;mso-height-relative:page;" filled="f" stroked="t" coordsize="21600,21600" o:gfxdata="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OuNfzXAAAABwEAAA8AAAAAAAAAAQAgAAAAIgAAAGRycy9kb3du&#10;cmV2LnhtbFBLAQIUABQAAAAIAIdO4kCcbEimAAIAAPEDAAAOAAAAAAAAAAEAIAAAACYBAABkcnMv&#10;ZTJvRG9jLnhtbFBLBQYAAAAABgAGAFkBAACYBQAAAAA=&#10;">
                      <v:fill on="f" focussize="0,0"/>
                      <v:stroke color="#000000" joinstyle="round"/>
                      <v:imagedata o:title=""/>
                      <o:lock v:ext="edit" aspectratio="f"/>
                    </v:shape>
                  </w:pict>
                </mc:Fallback>
              </mc:AlternateContent>
            </w:r>
            <w:r>
              <w:rPr>
                <w:rFonts w:hint="eastAsia" w:ascii="宋体" w:hAnsi="宋体"/>
                <w:sz w:val="18"/>
                <w:szCs w:val="18"/>
              </w:rPr>
              <w:t xml:space="preserve">乙    </w:t>
            </w:r>
            <w:r>
              <w:rPr>
                <w:rFonts w:hint="eastAsia" w:ascii="宋体" w:hAnsi="宋体"/>
                <w:sz w:val="18"/>
                <w:szCs w:val="18"/>
                <w:lang w:val="en-US" w:eastAsia="zh-CN"/>
              </w:rPr>
              <w:t xml:space="preserve">               </w:t>
            </w:r>
            <w:r>
              <w:rPr>
                <w:rFonts w:hint="eastAsia" w:ascii="宋体" w:hAnsi="宋体"/>
                <w:sz w:val="18"/>
                <w:szCs w:val="18"/>
              </w:rPr>
              <w:t xml:space="preserve">  甲</w:t>
            </w:r>
          </w:p>
        </w:tc>
        <w:tc>
          <w:tcPr>
            <w:tcW w:w="2547" w:type="dxa"/>
            <w:noWrap w:val="0"/>
            <w:vAlign w:val="top"/>
          </w:tcPr>
          <w:p>
            <w:pPr>
              <w:pStyle w:val="7"/>
              <w:spacing w:line="360" w:lineRule="auto"/>
              <w:ind w:left="420" w:leftChars="200" w:firstLine="270" w:firstLineChars="150"/>
              <w:rPr>
                <w:rFonts w:hint="eastAsia" w:ascii="宋体" w:hAnsi="宋体"/>
                <w:sz w:val="18"/>
                <w:szCs w:val="18"/>
              </w:rPr>
            </w:pPr>
            <w:r>
              <w:rPr>
                <w:rFonts w:hint="eastAsia" w:ascii="宋体" w:hAnsi="宋体"/>
                <w:sz w:val="18"/>
                <w:szCs w:val="18"/>
              </w:rPr>
              <w:t>优惠政策</w:t>
            </w:r>
          </w:p>
        </w:tc>
        <w:tc>
          <w:tcPr>
            <w:tcW w:w="2547" w:type="dxa"/>
            <w:noWrap w:val="0"/>
            <w:vAlign w:val="top"/>
          </w:tcPr>
          <w:p>
            <w:pPr>
              <w:pStyle w:val="7"/>
              <w:spacing w:line="360" w:lineRule="auto"/>
              <w:ind w:left="420" w:leftChars="200" w:firstLine="270" w:firstLineChars="150"/>
              <w:rPr>
                <w:rFonts w:hint="eastAsia" w:ascii="宋体" w:hAnsi="宋体"/>
                <w:sz w:val="18"/>
                <w:szCs w:val="18"/>
              </w:rPr>
            </w:pPr>
            <w:r>
              <w:rPr>
                <w:rFonts w:hint="eastAsia" w:ascii="宋体" w:hAnsi="宋体"/>
                <w:sz w:val="18"/>
                <w:szCs w:val="18"/>
              </w:rPr>
              <w:t>无优惠政策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2546" w:type="dxa"/>
            <w:noWrap w:val="0"/>
            <w:vAlign w:val="top"/>
          </w:tcPr>
          <w:p>
            <w:pPr>
              <w:pStyle w:val="7"/>
              <w:ind w:firstLine="0" w:firstLineChars="0"/>
              <w:jc w:val="center"/>
              <w:rPr>
                <w:rFonts w:hint="eastAsia"/>
                <w:sz w:val="18"/>
                <w:szCs w:val="18"/>
              </w:rPr>
            </w:pPr>
            <w:r>
              <w:rPr>
                <w:rFonts w:hint="eastAsia"/>
                <w:sz w:val="18"/>
                <w:szCs w:val="18"/>
              </w:rPr>
              <w:t>优惠政策</w:t>
            </w:r>
          </w:p>
        </w:tc>
        <w:tc>
          <w:tcPr>
            <w:tcW w:w="2547" w:type="dxa"/>
            <w:noWrap w:val="0"/>
            <w:vAlign w:val="top"/>
          </w:tcPr>
          <w:p>
            <w:pPr>
              <w:pStyle w:val="7"/>
              <w:ind w:firstLine="0" w:firstLineChars="0"/>
              <w:jc w:val="center"/>
              <w:rPr>
                <w:sz w:val="18"/>
                <w:szCs w:val="18"/>
              </w:rPr>
            </w:pPr>
            <w:r>
              <w:rPr>
                <w:rFonts w:hint="eastAsia"/>
                <w:sz w:val="18"/>
                <w:szCs w:val="18"/>
              </w:rPr>
              <w:t>A(5，5)</w:t>
            </w:r>
          </w:p>
        </w:tc>
        <w:tc>
          <w:tcPr>
            <w:tcW w:w="2547" w:type="dxa"/>
            <w:noWrap w:val="0"/>
            <w:vAlign w:val="top"/>
          </w:tcPr>
          <w:p>
            <w:pPr>
              <w:pStyle w:val="7"/>
              <w:ind w:firstLine="0" w:firstLineChars="0"/>
              <w:jc w:val="center"/>
              <w:rPr>
                <w:sz w:val="18"/>
                <w:szCs w:val="18"/>
              </w:rPr>
            </w:pPr>
            <w:r>
              <w:rPr>
                <w:rFonts w:hint="eastAsia"/>
                <w:sz w:val="18"/>
                <w:szCs w:val="18"/>
              </w:rPr>
              <w:t>B（8，-14）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2546" w:type="dxa"/>
            <w:noWrap w:val="0"/>
            <w:vAlign w:val="top"/>
          </w:tcPr>
          <w:p>
            <w:pPr>
              <w:pStyle w:val="7"/>
              <w:ind w:firstLine="0" w:firstLineChars="0"/>
              <w:jc w:val="center"/>
              <w:rPr>
                <w:rFonts w:hint="eastAsia"/>
                <w:sz w:val="18"/>
                <w:szCs w:val="18"/>
              </w:rPr>
            </w:pPr>
            <w:r>
              <w:rPr>
                <w:rFonts w:hint="eastAsia"/>
                <w:sz w:val="18"/>
                <w:szCs w:val="18"/>
              </w:rPr>
              <w:t>无优惠政策</w:t>
            </w:r>
          </w:p>
        </w:tc>
        <w:tc>
          <w:tcPr>
            <w:tcW w:w="2547" w:type="dxa"/>
            <w:noWrap w:val="0"/>
            <w:vAlign w:val="top"/>
          </w:tcPr>
          <w:p>
            <w:pPr>
              <w:pStyle w:val="7"/>
              <w:ind w:firstLine="0" w:firstLineChars="0"/>
              <w:jc w:val="center"/>
              <w:rPr>
                <w:sz w:val="18"/>
                <w:szCs w:val="18"/>
              </w:rPr>
            </w:pPr>
            <w:r>
              <w:rPr>
                <w:rFonts w:hint="eastAsia"/>
                <w:sz w:val="18"/>
                <w:szCs w:val="18"/>
              </w:rPr>
              <w:t>C（-14，8）</w:t>
            </w:r>
          </w:p>
        </w:tc>
        <w:tc>
          <w:tcPr>
            <w:tcW w:w="2547" w:type="dxa"/>
            <w:noWrap w:val="0"/>
            <w:vAlign w:val="top"/>
          </w:tcPr>
          <w:p>
            <w:pPr>
              <w:pStyle w:val="7"/>
              <w:ind w:firstLine="0" w:firstLineChars="0"/>
              <w:jc w:val="center"/>
              <w:rPr>
                <w:sz w:val="18"/>
                <w:szCs w:val="18"/>
              </w:rPr>
            </w:pPr>
            <w:r>
              <w:rPr>
                <w:rFonts w:hint="eastAsia"/>
                <w:sz w:val="18"/>
                <w:szCs w:val="18"/>
              </w:rPr>
              <w:t>D（-10，-10）</w:t>
            </w:r>
          </w:p>
        </w:tc>
      </w:tr>
    </w:tbl>
    <w:p>
      <w:pPr>
        <w:pStyle w:val="7"/>
        <w:spacing w:line="360" w:lineRule="auto"/>
        <w:ind w:firstLine="480"/>
        <w:rPr>
          <w:rFonts w:hint="eastAsia" w:ascii="宋体" w:hAnsi="宋体"/>
          <w:sz w:val="24"/>
          <w:szCs w:val="24"/>
        </w:rPr>
      </w:pPr>
    </w:p>
    <w:p>
      <w:pPr>
        <w:spacing w:line="360" w:lineRule="auto"/>
        <w:ind w:firstLine="480" w:firstLineChars="200"/>
        <w:rPr>
          <w:rFonts w:hint="eastAsia" w:ascii="宋体" w:hAnsi="宋体"/>
          <w:sz w:val="24"/>
        </w:rPr>
      </w:pPr>
      <w:r>
        <w:rPr>
          <w:rFonts w:hint="eastAsia" w:ascii="宋体" w:hAnsi="宋体"/>
          <w:sz w:val="24"/>
        </w:rPr>
        <w:t>假设地方政府的行为是对具有真实投资项目做出政策抉择，抉择只有两种策略：政策优惠和不优惠，如果地方政府甲和乙均选择不优惠，那么投资者丧失优惠条件，抉择是不投资，从而政府均获得零收益和付出较低的成本。而两地都采取优惠政策获得的发展地方经济的机会，但能够取得因合作而引起的经济发展。</w:t>
      </w:r>
    </w:p>
    <w:p>
      <w:pPr>
        <w:spacing w:line="360" w:lineRule="auto"/>
        <w:ind w:firstLine="482" w:firstLineChars="200"/>
        <w:rPr>
          <w:rFonts w:hint="eastAsia"/>
          <w:b/>
          <w:bCs/>
          <w:color w:val="000000"/>
          <w:sz w:val="24"/>
        </w:rPr>
      </w:pPr>
      <w:r>
        <w:rPr>
          <w:rFonts w:hint="eastAsia" w:ascii="宋体" w:hAnsi="宋体"/>
          <w:b/>
          <w:bCs/>
          <w:sz w:val="24"/>
        </w:rPr>
        <w:t>（3）</w:t>
      </w:r>
      <w:r>
        <w:rPr>
          <w:rFonts w:hint="eastAsia"/>
          <w:b/>
          <w:bCs/>
          <w:color w:val="000000"/>
          <w:sz w:val="24"/>
        </w:rPr>
        <w:t>正和博弈最终形成利益共生是最后捆绑的关键</w:t>
      </w:r>
    </w:p>
    <w:p>
      <w:pPr>
        <w:spacing w:line="360" w:lineRule="auto"/>
        <w:ind w:firstLine="480" w:firstLineChars="200"/>
        <w:rPr>
          <w:color w:val="000000"/>
          <w:sz w:val="24"/>
        </w:rPr>
      </w:pPr>
      <w:r>
        <w:rPr>
          <w:rFonts w:hint="eastAsia"/>
          <w:color w:val="000000"/>
          <w:sz w:val="24"/>
        </w:rPr>
        <w:t>地方政府与企业利益在顺境中会良性互动，两者形成一个相对稳定的博弈共生互惠关系，企业为地方政府缴纳税收，政府为企业提供政策优惠。尤其在企业成长和扩张时期，这一捆绑模式不断强化。以赛维的银行贷款为例，部分贷款都跟地方政府的协助和隐形担保有关，更是将两者直接地牢牢的绑在一起。政府和市场博弈共生互惠关系存在的基础在于以下两个方面：一是分税制改革后，地方政府扩大财政收入的动力更加强劲，招商引资的冲动更加剧烈。同时中央给予地方政府更多的经济自主权，地方政府在制定本地区招商引资政策中拥有更多的弹性空间。此外，“唯GDP论英雄”的政绩考核强化了地方政府干预市场的意识。这些因素共同造成了地方政府对于招商引资乐此不彼，对于企业处处迁就。二是在拉动经济发展的三驾马车中，消费一直难以支撑中西部地区的经济增长，地方政府经济发展主要依靠投资和外贸，出口和投资都要依靠企业，企业的发展对于当地经济发展、就业促进和政府财政收入都有很大的推动作用。因此，企业的发展可以获得政府的很多支持，彼此之间相互依存。</w:t>
      </w:r>
    </w:p>
    <w:p>
      <w:pPr>
        <w:widowControl/>
        <w:spacing w:before="156" w:beforeLines="50" w:line="360" w:lineRule="auto"/>
        <w:ind w:firstLine="562" w:firstLineChars="200"/>
        <w:jc w:val="left"/>
        <w:rPr>
          <w:rFonts w:hint="eastAsia" w:ascii="宋体" w:hAnsi="宋体" w:cs="宋体"/>
          <w:b/>
          <w:kern w:val="0"/>
          <w:sz w:val="28"/>
          <w:szCs w:val="28"/>
        </w:rPr>
      </w:pPr>
      <w:r>
        <w:rPr>
          <w:rFonts w:hint="eastAsia" w:ascii="宋体" w:hAnsi="宋体" w:cs="宋体"/>
          <w:b/>
          <w:kern w:val="0"/>
          <w:sz w:val="28"/>
          <w:szCs w:val="28"/>
        </w:rPr>
        <w:t>4、如何化解地方政府与市场之间的利益捆绑关系</w:t>
      </w:r>
    </w:p>
    <w:p>
      <w:pPr>
        <w:spacing w:line="360" w:lineRule="auto"/>
        <w:ind w:firstLine="480" w:firstLineChars="200"/>
        <w:rPr>
          <w:rFonts w:hint="eastAsia" w:ascii="宋体" w:hAnsi="宋体" w:cs="宋体"/>
          <w:kern w:val="0"/>
          <w:sz w:val="24"/>
        </w:rPr>
      </w:pPr>
      <w:r>
        <w:rPr>
          <w:rFonts w:hint="eastAsia"/>
          <w:sz w:val="24"/>
        </w:rPr>
        <w:t>政府与市场利益捆绑模式实质是政府与市场没有清晰的边界，政府在一定的价值偏好的指导下主动引导和干预市场主体运行的博弈结果。我们通过分析认为，从政府干预市场的动因看，不仅是利益驱动，也是政治经济竞争的驱动。政府挣脱与市场主体的利益捆绑关系需要结合具体的经济社会和区域背景进行分析，而策略的选择只能根据博弈的均衡结果来采取行动。也许转型期的政企边界，是一种动态和模糊的，不仅仅取决于法律规定，因为法律规定自身具有模糊性。十八届三中全会中明确提出“使市场在资源配置中起决定性作用”</w:t>
      </w:r>
      <w:r>
        <w:rPr>
          <w:rStyle w:val="5"/>
          <w:rFonts w:hint="eastAsia"/>
          <w:sz w:val="24"/>
        </w:rPr>
        <w:footnoteReference w:id="4"/>
      </w:r>
      <w:r>
        <w:rPr>
          <w:rFonts w:hint="eastAsia"/>
          <w:sz w:val="24"/>
        </w:rPr>
        <w:t>，从“基础性”到“决定性”的转变，体现了中央对政府与市场关系的重新认识和定位，市场在资源配置中的作用更加凸显，地方政府与市场的利益捆绑现象将逐渐减少。然而改革不是一蹴而就的，市场起决定性作用也不意味着政府完全不发挥作用。显然，在我国现实国情之下，在中西部欠发达地区政策干预还将继续下去，地方政府与市场企业依然有着千丝万缕的联系，政府挣脱捆绑模式的关键还在于因地制宜、因时制宜的把握合理的“度”问题。</w:t>
      </w:r>
    </w:p>
    <w:p>
      <w:pPr>
        <w:widowControl/>
        <w:spacing w:before="156" w:beforeLines="50" w:line="360" w:lineRule="auto"/>
        <w:ind w:firstLine="482" w:firstLineChars="200"/>
        <w:jc w:val="left"/>
        <w:rPr>
          <w:rFonts w:hint="eastAsia" w:ascii="宋体" w:hAnsi="宋体" w:cs="宋体"/>
          <w:b/>
          <w:kern w:val="0"/>
          <w:sz w:val="24"/>
        </w:rPr>
      </w:pPr>
      <w:r>
        <w:rPr>
          <w:rFonts w:hint="eastAsia" w:ascii="宋体" w:hAnsi="宋体" w:cs="宋体"/>
          <w:b/>
          <w:kern w:val="0"/>
          <w:sz w:val="24"/>
        </w:rPr>
        <w:t>五、课堂安排：</w:t>
      </w:r>
    </w:p>
    <w:p>
      <w:pPr>
        <w:widowControl/>
        <w:spacing w:before="156" w:beforeLines="50" w:line="360" w:lineRule="auto"/>
        <w:ind w:firstLine="480" w:firstLineChars="200"/>
        <w:jc w:val="left"/>
        <w:rPr>
          <w:rFonts w:hint="eastAsia" w:ascii="宋体" w:hAnsi="宋体" w:cs="宋体"/>
          <w:kern w:val="0"/>
          <w:sz w:val="24"/>
        </w:rPr>
      </w:pPr>
      <w:r>
        <w:rPr>
          <w:rFonts w:hint="eastAsia" w:ascii="宋体" w:hAnsi="宋体" w:cs="宋体"/>
          <w:kern w:val="0"/>
          <w:sz w:val="24"/>
        </w:rPr>
        <w:t>一共分为三个有机统一的步骤：</w:t>
      </w:r>
    </w:p>
    <w:p>
      <w:pPr>
        <w:widowControl/>
        <w:spacing w:before="156" w:beforeLines="50" w:line="360" w:lineRule="auto"/>
        <w:ind w:firstLine="482" w:firstLineChars="200"/>
        <w:jc w:val="left"/>
        <w:rPr>
          <w:rFonts w:hint="eastAsia" w:ascii="楷体" w:hAnsi="楷体" w:eastAsia="楷体" w:cs="楷体"/>
          <w:b/>
          <w:bCs/>
          <w:kern w:val="0"/>
          <w:sz w:val="24"/>
        </w:rPr>
      </w:pPr>
      <w:r>
        <w:rPr>
          <w:rFonts w:hint="eastAsia" w:ascii="楷体" w:hAnsi="楷体" w:eastAsia="楷体" w:cs="楷体"/>
          <w:b/>
          <w:bCs/>
          <w:kern w:val="0"/>
          <w:sz w:val="24"/>
        </w:rPr>
        <w:t>第一步，学习案例，提出问题。</w:t>
      </w:r>
    </w:p>
    <w:p>
      <w:pPr>
        <w:widowControl/>
        <w:spacing w:before="156" w:beforeLines="50" w:line="360" w:lineRule="auto"/>
        <w:ind w:firstLine="480" w:firstLineChars="200"/>
        <w:jc w:val="left"/>
        <w:rPr>
          <w:rFonts w:hint="eastAsia" w:ascii="宋体" w:hAnsi="宋体" w:cs="宋体"/>
          <w:kern w:val="0"/>
          <w:sz w:val="24"/>
        </w:rPr>
      </w:pPr>
      <w:r>
        <w:rPr>
          <w:rFonts w:hint="eastAsia" w:ascii="宋体" w:hAnsi="宋体" w:cs="宋体"/>
          <w:kern w:val="0"/>
          <w:sz w:val="24"/>
        </w:rPr>
        <w:t>一是观看新闻视频与企业简介，共10分钟。</w:t>
      </w:r>
    </w:p>
    <w:p>
      <w:pPr>
        <w:widowControl/>
        <w:spacing w:before="156" w:beforeLines="50" w:line="360" w:lineRule="auto"/>
        <w:ind w:firstLine="480" w:firstLineChars="200"/>
        <w:jc w:val="left"/>
        <w:rPr>
          <w:rFonts w:hint="eastAsia" w:ascii="宋体" w:hAnsi="宋体" w:cs="宋体"/>
          <w:kern w:val="0"/>
          <w:sz w:val="24"/>
        </w:rPr>
      </w:pPr>
      <w:r>
        <w:rPr>
          <w:rFonts w:hint="eastAsia" w:ascii="宋体" w:hAnsi="宋体" w:cs="宋体"/>
          <w:kern w:val="0"/>
          <w:sz w:val="24"/>
        </w:rPr>
        <w:t>通过多媒体展示赛维LDK宣传片，让学生对赛维LDK的企业基本情况和产业发展前景进行认知。</w:t>
      </w:r>
    </w:p>
    <w:p>
      <w:pPr>
        <w:widowControl/>
        <w:spacing w:before="156" w:beforeLines="50" w:line="360" w:lineRule="auto"/>
        <w:ind w:firstLine="480" w:firstLineChars="200"/>
        <w:jc w:val="left"/>
        <w:rPr>
          <w:rFonts w:hint="eastAsia" w:ascii="宋体" w:hAnsi="宋体" w:cs="宋体"/>
          <w:kern w:val="0"/>
          <w:sz w:val="24"/>
        </w:rPr>
      </w:pPr>
      <w:r>
        <w:rPr>
          <w:rFonts w:hint="eastAsia" w:ascii="宋体" w:hAnsi="宋体" w:cs="宋体"/>
          <w:kern w:val="0"/>
          <w:sz w:val="24"/>
        </w:rPr>
        <w:t>二是通过多媒体展示新余政府施救赛维LDK的新闻资料，让学生能够对于赛维前后境况的反差进行自我追问和反思，从而为引入问题做铺垫。20分钟</w:t>
      </w:r>
    </w:p>
    <w:p>
      <w:pPr>
        <w:widowControl/>
        <w:spacing w:before="156" w:beforeLines="50" w:line="360" w:lineRule="auto"/>
        <w:ind w:firstLine="480" w:firstLineChars="200"/>
        <w:jc w:val="left"/>
        <w:rPr>
          <w:rFonts w:hint="eastAsia" w:ascii="宋体" w:hAnsi="宋体" w:cs="宋体"/>
          <w:kern w:val="0"/>
          <w:sz w:val="24"/>
        </w:rPr>
      </w:pPr>
      <w:r>
        <w:rPr>
          <w:rFonts w:hint="eastAsia" w:ascii="宋体" w:hAnsi="宋体" w:cs="宋体"/>
          <w:kern w:val="0"/>
          <w:sz w:val="24"/>
        </w:rPr>
        <w:t>1、新余市政府是否应当动用财政资金施救赛维LDK?</w:t>
      </w:r>
    </w:p>
    <w:p>
      <w:pPr>
        <w:widowControl/>
        <w:spacing w:before="156" w:beforeLines="50" w:line="360" w:lineRule="auto"/>
        <w:ind w:firstLine="480" w:firstLineChars="200"/>
        <w:jc w:val="left"/>
        <w:rPr>
          <w:rFonts w:hint="eastAsia" w:ascii="宋体" w:hAnsi="宋体" w:cs="宋体"/>
          <w:kern w:val="0"/>
          <w:sz w:val="24"/>
        </w:rPr>
      </w:pPr>
      <w:r>
        <w:rPr>
          <w:rFonts w:hint="eastAsia" w:ascii="宋体" w:hAnsi="宋体" w:cs="宋体"/>
          <w:kern w:val="0"/>
          <w:sz w:val="24"/>
        </w:rPr>
        <w:t>2、新余市政府为何要施救赛维？</w:t>
      </w:r>
    </w:p>
    <w:p>
      <w:pPr>
        <w:widowControl/>
        <w:spacing w:before="156" w:beforeLines="50" w:line="360" w:lineRule="auto"/>
        <w:ind w:firstLine="480" w:firstLineChars="200"/>
        <w:jc w:val="left"/>
        <w:rPr>
          <w:rFonts w:hint="eastAsia" w:ascii="宋体" w:hAnsi="宋体" w:cs="宋体"/>
          <w:kern w:val="0"/>
          <w:sz w:val="24"/>
        </w:rPr>
      </w:pPr>
      <w:r>
        <w:rPr>
          <w:rFonts w:hint="eastAsia" w:ascii="宋体" w:hAnsi="宋体" w:cs="宋体"/>
          <w:kern w:val="0"/>
          <w:sz w:val="24"/>
        </w:rPr>
        <w:t>3、新余市施救赛维LDK的政治经济背景是什么？</w:t>
      </w:r>
    </w:p>
    <w:p>
      <w:pPr>
        <w:keepNext w:val="0"/>
        <w:keepLines w:val="0"/>
        <w:pageBreakBefore w:val="0"/>
        <w:widowControl/>
        <w:kinsoku/>
        <w:wordWrap/>
        <w:overflowPunct/>
        <w:topLinePunct w:val="0"/>
        <w:autoSpaceDE/>
        <w:autoSpaceDN/>
        <w:bidi w:val="0"/>
        <w:adjustRightInd/>
        <w:snapToGrid/>
        <w:spacing w:before="156" w:beforeLines="50"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4、如何进行政府与市场主体的利益松绑？</w:t>
      </w:r>
    </w:p>
    <w:p>
      <w:pPr>
        <w:widowControl/>
        <w:spacing w:before="156" w:beforeLines="50" w:line="360" w:lineRule="auto"/>
        <w:ind w:firstLine="482" w:firstLineChars="200"/>
        <w:jc w:val="left"/>
        <w:rPr>
          <w:rFonts w:hint="eastAsia" w:ascii="楷体" w:hAnsi="楷体" w:eastAsia="楷体" w:cs="楷体"/>
          <w:b/>
          <w:kern w:val="0"/>
          <w:sz w:val="24"/>
        </w:rPr>
      </w:pPr>
      <w:r>
        <w:rPr>
          <w:rFonts w:hint="eastAsia" w:ascii="楷体" w:hAnsi="楷体" w:eastAsia="楷体" w:cs="楷体"/>
          <w:b/>
          <w:kern w:val="0"/>
          <w:sz w:val="24"/>
        </w:rPr>
        <w:t>第二步，使用方法，深入讨论，分析问题</w:t>
      </w:r>
    </w:p>
    <w:p>
      <w:pPr>
        <w:widowControl/>
        <w:spacing w:before="156" w:beforeLines="50" w:line="360" w:lineRule="auto"/>
        <w:ind w:firstLine="480" w:firstLineChars="200"/>
        <w:jc w:val="left"/>
        <w:rPr>
          <w:rFonts w:hint="eastAsia" w:ascii="宋体" w:hAnsi="宋体" w:cs="宋体"/>
          <w:kern w:val="0"/>
          <w:sz w:val="24"/>
        </w:rPr>
      </w:pPr>
      <w:r>
        <w:rPr>
          <w:rFonts w:hint="eastAsia" w:ascii="宋体" w:hAnsi="宋体" w:cs="宋体"/>
          <w:kern w:val="0"/>
          <w:sz w:val="24"/>
        </w:rPr>
        <w:t>一是组织辩论，时间为60分钟</w:t>
      </w:r>
    </w:p>
    <w:p>
      <w:pPr>
        <w:widowControl/>
        <w:spacing w:before="156" w:beforeLines="50" w:line="360" w:lineRule="auto"/>
        <w:ind w:firstLine="480" w:firstLineChars="200"/>
        <w:jc w:val="left"/>
        <w:rPr>
          <w:rFonts w:hint="eastAsia" w:ascii="宋体" w:hAnsi="宋体" w:cs="宋体"/>
          <w:kern w:val="0"/>
          <w:sz w:val="24"/>
        </w:rPr>
      </w:pPr>
      <w:r>
        <w:rPr>
          <w:rFonts w:hint="eastAsia" w:ascii="宋体" w:hAnsi="宋体" w:cs="宋体"/>
          <w:kern w:val="0"/>
          <w:sz w:val="24"/>
        </w:rPr>
        <w:t>1、对新余政府施救赛维LDK的不同观点者进行区分。由于学生职业背景不同，对政府与市场关系的认知和态度不同，自然会分为两种不同的态度倾向：一是支持新余政府的做法；二是反对新余的做法；根据课堂的态度测试，直接进行分组。</w:t>
      </w:r>
    </w:p>
    <w:p>
      <w:pPr>
        <w:widowControl/>
        <w:spacing w:before="156" w:beforeLines="50" w:line="360" w:lineRule="auto"/>
        <w:jc w:val="left"/>
        <w:rPr>
          <w:rFonts w:hint="eastAsia" w:ascii="宋体" w:hAnsi="宋体" w:cs="宋体"/>
          <w:kern w:val="0"/>
          <w:sz w:val="24"/>
        </w:rPr>
      </w:pPr>
      <w:r>
        <w:rPr>
          <w:rFonts w:hint="eastAsia" w:ascii="宋体" w:hAnsi="宋体" w:cs="宋体"/>
          <w:kern w:val="0"/>
          <w:sz w:val="24"/>
        </w:rPr>
        <w:t xml:space="preserve">   2、划分为两组进行分组内部讨论，安排辩论小组。按照辩论的方式，安排小组选出小组长并进行双方辨手的安排。</w:t>
      </w:r>
    </w:p>
    <w:p>
      <w:pPr>
        <w:widowControl/>
        <w:spacing w:before="156" w:beforeLines="50" w:line="360" w:lineRule="auto"/>
        <w:jc w:val="left"/>
        <w:rPr>
          <w:rFonts w:hint="eastAsia" w:ascii="宋体" w:hAnsi="宋体" w:cs="宋体"/>
          <w:kern w:val="0"/>
          <w:sz w:val="24"/>
        </w:rPr>
      </w:pPr>
      <w:r>
        <w:rPr>
          <w:rFonts w:hint="eastAsia" w:ascii="宋体" w:hAnsi="宋体" w:cs="宋体"/>
          <w:kern w:val="0"/>
          <w:sz w:val="24"/>
        </w:rPr>
        <w:t xml:space="preserve">   3、组织进行30分钟的辩论，形成正反双方的观点碰撞。通过正反双方的主要理由进行辩论，将案例的问题逐步引向深入。对于新余政府做法的好处和坏处，得失清楚明白。进而，明晰这些措施能够产生效果的现实条件和制约因素，反之弃之不顾的后果及其代价是什么</w:t>
      </w:r>
    </w:p>
    <w:p>
      <w:pPr>
        <w:widowControl/>
        <w:spacing w:before="156" w:beforeLines="50" w:line="360" w:lineRule="auto"/>
        <w:jc w:val="left"/>
        <w:rPr>
          <w:rFonts w:hint="eastAsia" w:ascii="宋体" w:hAnsi="宋体" w:cs="宋体"/>
          <w:kern w:val="0"/>
          <w:sz w:val="24"/>
        </w:rPr>
      </w:pPr>
      <w:r>
        <w:rPr>
          <w:rFonts w:hint="eastAsia" w:ascii="宋体" w:hAnsi="宋体" w:cs="宋体"/>
          <w:kern w:val="0"/>
          <w:sz w:val="24"/>
        </w:rPr>
        <w:t xml:space="preserve">    通过双方观点在碰撞之后进一步明晰各自的主要理由和论据，对各自观点进行梳理和审查，从而明确是否达到全面、客观、准确地把握了案例的实质问题、现实条件和数据资料。</w:t>
      </w:r>
    </w:p>
    <w:p>
      <w:pPr>
        <w:widowControl/>
        <w:spacing w:before="156" w:beforeLines="50" w:line="360" w:lineRule="auto"/>
        <w:ind w:firstLine="480" w:firstLineChars="200"/>
        <w:jc w:val="left"/>
        <w:rPr>
          <w:rFonts w:hint="eastAsia" w:ascii="宋体" w:hAnsi="宋体" w:cs="宋体"/>
          <w:bCs/>
          <w:kern w:val="0"/>
          <w:sz w:val="24"/>
        </w:rPr>
      </w:pPr>
      <w:r>
        <w:rPr>
          <w:rFonts w:hint="eastAsia" w:ascii="宋体" w:hAnsi="宋体" w:cs="宋体"/>
          <w:bCs/>
          <w:kern w:val="0"/>
          <w:sz w:val="24"/>
        </w:rPr>
        <w:t>二是对问题原因进行多视角分析，时间为60分钟。</w:t>
      </w:r>
    </w:p>
    <w:p>
      <w:pPr>
        <w:widowControl/>
        <w:spacing w:before="156" w:beforeLines="50" w:line="360" w:lineRule="auto"/>
        <w:jc w:val="left"/>
        <w:rPr>
          <w:rFonts w:hint="eastAsia" w:ascii="宋体" w:hAnsi="宋体" w:cs="宋体"/>
          <w:bCs/>
          <w:kern w:val="0"/>
          <w:sz w:val="24"/>
        </w:rPr>
      </w:pPr>
      <w:r>
        <w:rPr>
          <w:rFonts w:hint="eastAsia" w:ascii="宋体" w:hAnsi="宋体" w:cs="宋体"/>
          <w:bCs/>
          <w:kern w:val="0"/>
          <w:sz w:val="24"/>
        </w:rPr>
        <w:t xml:space="preserve">    1、导入施救赛维LDK的原因分析的可行方法。进一步将案例分析学术化，将利益分析、博弈方法、政治经济学方法介绍到案例的分析中。</w:t>
      </w:r>
    </w:p>
    <w:p>
      <w:pPr>
        <w:widowControl/>
        <w:spacing w:before="156" w:beforeLines="50" w:line="360" w:lineRule="auto"/>
        <w:jc w:val="left"/>
        <w:rPr>
          <w:rFonts w:hint="eastAsia" w:ascii="宋体" w:hAnsi="宋体" w:cs="宋体"/>
          <w:bCs/>
          <w:kern w:val="0"/>
          <w:sz w:val="24"/>
        </w:rPr>
      </w:pPr>
      <w:r>
        <w:rPr>
          <w:rFonts w:hint="eastAsia" w:ascii="宋体" w:hAnsi="宋体" w:cs="宋体"/>
          <w:bCs/>
          <w:kern w:val="0"/>
          <w:sz w:val="24"/>
        </w:rPr>
        <w:t xml:space="preserve">    2、确定不同分析法的代表。根据课前布置的案例认知准备和方法准备，对没有参加辩论的同学进行代表性筛选，每一种方法选取一个代表进行课堂讨论。</w:t>
      </w:r>
    </w:p>
    <w:p>
      <w:pPr>
        <w:widowControl/>
        <w:spacing w:before="156" w:beforeLines="50" w:line="360" w:lineRule="auto"/>
        <w:jc w:val="left"/>
        <w:rPr>
          <w:rFonts w:hint="eastAsia" w:ascii="宋体" w:hAnsi="宋体" w:cs="宋体"/>
          <w:bCs/>
          <w:kern w:val="0"/>
          <w:sz w:val="24"/>
        </w:rPr>
      </w:pPr>
      <w:r>
        <w:rPr>
          <w:rFonts w:hint="eastAsia" w:ascii="宋体" w:hAnsi="宋体" w:cs="宋体"/>
          <w:bCs/>
          <w:kern w:val="0"/>
          <w:sz w:val="24"/>
        </w:rPr>
        <w:t xml:space="preserve">    3、进行代表发言，每人5分钟，总计30分钟。通过不同分析角度，解读新余政府施救赛维LDK的动因、背景及其行为选择的预测，从而更加理性而有效地把握地方政府与市场主体的利益捆绑机制及其成因。</w:t>
      </w:r>
    </w:p>
    <w:p>
      <w:pPr>
        <w:widowControl/>
        <w:spacing w:before="156" w:beforeLines="50" w:line="360" w:lineRule="auto"/>
        <w:ind w:firstLine="482" w:firstLineChars="200"/>
        <w:jc w:val="left"/>
        <w:rPr>
          <w:rFonts w:hint="eastAsia" w:ascii="楷体" w:hAnsi="楷体" w:eastAsia="楷体" w:cs="楷体"/>
          <w:b/>
          <w:kern w:val="0"/>
          <w:sz w:val="24"/>
        </w:rPr>
      </w:pPr>
      <w:r>
        <w:rPr>
          <w:rFonts w:hint="eastAsia" w:ascii="楷体" w:hAnsi="楷体" w:eastAsia="楷体" w:cs="楷体"/>
          <w:b/>
          <w:kern w:val="0"/>
          <w:sz w:val="24"/>
        </w:rPr>
        <w:t>第三步，脑力风暴，集体智慧，解决问题 60分钟</w:t>
      </w:r>
    </w:p>
    <w:p>
      <w:pPr>
        <w:widowControl/>
        <w:spacing w:before="156" w:beforeLines="50" w:line="360" w:lineRule="auto"/>
        <w:ind w:firstLine="480" w:firstLineChars="200"/>
        <w:jc w:val="left"/>
        <w:rPr>
          <w:rFonts w:hint="eastAsia" w:ascii="宋体" w:hAnsi="宋体" w:cs="宋体"/>
          <w:bCs/>
          <w:kern w:val="0"/>
          <w:sz w:val="24"/>
        </w:rPr>
      </w:pPr>
      <w:r>
        <w:rPr>
          <w:rFonts w:hint="eastAsia" w:ascii="宋体" w:hAnsi="宋体" w:cs="宋体"/>
          <w:bCs/>
          <w:kern w:val="0"/>
          <w:sz w:val="24"/>
        </w:rPr>
        <w:t>主要是在分析的基础上，着眼于解决问题：</w:t>
      </w:r>
    </w:p>
    <w:p>
      <w:pPr>
        <w:widowControl/>
        <w:numPr>
          <w:ilvl w:val="0"/>
          <w:numId w:val="1"/>
        </w:numPr>
        <w:spacing w:before="156" w:beforeLines="50" w:line="360" w:lineRule="auto"/>
        <w:ind w:firstLine="480" w:firstLineChars="200"/>
        <w:jc w:val="left"/>
        <w:rPr>
          <w:rFonts w:hint="eastAsia" w:ascii="宋体" w:hAnsi="宋体" w:cs="宋体"/>
          <w:bCs/>
          <w:kern w:val="0"/>
          <w:sz w:val="24"/>
        </w:rPr>
      </w:pPr>
      <w:r>
        <w:rPr>
          <w:rFonts w:hint="eastAsia" w:ascii="宋体" w:hAnsi="宋体" w:cs="宋体"/>
          <w:bCs/>
          <w:kern w:val="0"/>
          <w:sz w:val="24"/>
        </w:rPr>
        <w:t>继续施救的策略。也就是如何根据形势变化，从积极的层面帮助企业脱困，如何合法合规并合理地发挥地方政府在解决赛维LDK困境中的措施。</w:t>
      </w:r>
    </w:p>
    <w:p>
      <w:pPr>
        <w:widowControl/>
        <w:numPr>
          <w:ilvl w:val="0"/>
          <w:numId w:val="1"/>
        </w:numPr>
        <w:spacing w:before="156" w:beforeLines="50" w:line="360" w:lineRule="auto"/>
        <w:ind w:firstLine="480" w:firstLineChars="200"/>
        <w:jc w:val="left"/>
        <w:rPr>
          <w:rFonts w:hint="eastAsia" w:ascii="宋体" w:hAnsi="宋体" w:cs="宋体"/>
          <w:bCs/>
          <w:kern w:val="0"/>
          <w:sz w:val="24"/>
        </w:rPr>
      </w:pPr>
      <w:r>
        <w:rPr>
          <w:rFonts w:hint="eastAsia" w:ascii="宋体" w:hAnsi="宋体" w:cs="宋体"/>
          <w:bCs/>
          <w:kern w:val="0"/>
          <w:sz w:val="24"/>
        </w:rPr>
        <w:t>松绑脱身的策略。也就是根据市场进一步发展和中央的政策导向，如何能够有效地松绑与赛维LDK的关系，逐步而稳妥的推出对企业的微观干预和无休止的救助，进一步构建全新的政府与市场主体的关系。</w:t>
      </w:r>
    </w:p>
    <w:p>
      <w:pPr>
        <w:widowControl/>
        <w:numPr>
          <w:ilvl w:val="0"/>
          <w:numId w:val="1"/>
        </w:numPr>
        <w:spacing w:before="156" w:beforeLines="50" w:line="360" w:lineRule="auto"/>
        <w:ind w:firstLine="480" w:firstLineChars="200"/>
        <w:jc w:val="left"/>
        <w:rPr>
          <w:rFonts w:hint="eastAsia" w:ascii="宋体" w:hAnsi="宋体" w:cs="宋体"/>
          <w:bCs/>
          <w:kern w:val="0"/>
          <w:sz w:val="24"/>
        </w:rPr>
      </w:pPr>
      <w:r>
        <w:rPr>
          <w:rFonts w:hint="eastAsia" w:ascii="宋体" w:hAnsi="宋体" w:cs="宋体"/>
          <w:bCs/>
          <w:kern w:val="0"/>
          <w:sz w:val="24"/>
        </w:rPr>
        <w:t>攻防兼备的策略。也就是从市场变化和政策导向的调整，从博弈的最优策略出发，抢占占优位置，留有回旋余地，既能帮助企业又能规避政策风险和财政风险的组合。</w:t>
      </w:r>
    </w:p>
    <w:p>
      <w:pPr>
        <w:widowControl/>
        <w:spacing w:before="156" w:beforeLines="50" w:line="360" w:lineRule="auto"/>
        <w:ind w:firstLine="480" w:firstLineChars="200"/>
        <w:jc w:val="left"/>
        <w:rPr>
          <w:rFonts w:hint="eastAsia" w:ascii="宋体" w:hAnsi="宋体" w:cs="宋体"/>
          <w:bCs/>
          <w:kern w:val="0"/>
          <w:sz w:val="24"/>
        </w:rPr>
      </w:pPr>
      <w:r>
        <w:rPr>
          <w:rFonts w:hint="eastAsia" w:ascii="宋体" w:hAnsi="宋体" w:cs="宋体"/>
          <w:bCs/>
          <w:kern w:val="0"/>
          <w:sz w:val="24"/>
        </w:rPr>
        <w:t>最后，总结归纳。主持人点评辩论与讨论的得失，阐明案例的背景及其理论问题，布置形成案例分析报告。（15分钟）</w:t>
      </w:r>
    </w:p>
    <w:p>
      <w:pPr>
        <w:widowControl/>
        <w:spacing w:before="156" w:beforeLines="50" w:line="360" w:lineRule="auto"/>
        <w:ind w:firstLine="562" w:firstLineChars="200"/>
        <w:jc w:val="left"/>
        <w:rPr>
          <w:rFonts w:ascii="宋体" w:cs="宋体"/>
          <w:kern w:val="0"/>
          <w:sz w:val="24"/>
        </w:rPr>
      </w:pPr>
      <w:r>
        <w:rPr>
          <w:rFonts w:hint="eastAsia" w:ascii="宋体" w:hAnsi="宋体" w:cs="宋体"/>
          <w:b/>
          <w:kern w:val="0"/>
          <w:sz w:val="28"/>
          <w:szCs w:val="28"/>
        </w:rPr>
        <w:t>六、其他教学支持：</w:t>
      </w:r>
      <w:r>
        <w:rPr>
          <w:rFonts w:hint="eastAsia" w:ascii="宋体" w:hAnsi="宋体" w:cs="宋体"/>
          <w:kern w:val="0"/>
          <w:sz w:val="24"/>
        </w:rPr>
        <w:t xml:space="preserve"> </w:t>
      </w:r>
    </w:p>
    <w:p>
      <w:pPr>
        <w:widowControl/>
        <w:spacing w:before="156" w:beforeLines="50" w:line="360" w:lineRule="auto"/>
        <w:jc w:val="left"/>
        <w:rPr>
          <w:rFonts w:hint="eastAsia" w:ascii="宋体" w:cs="宋体"/>
          <w:kern w:val="0"/>
          <w:sz w:val="24"/>
        </w:rPr>
      </w:pPr>
      <w:r>
        <w:rPr>
          <w:rFonts w:hint="eastAsia" w:ascii="宋体" w:cs="宋体"/>
          <w:kern w:val="0"/>
          <w:sz w:val="24"/>
        </w:rPr>
        <w:t xml:space="preserve">   （1）多媒体设备支持：由于播放视频资料：赛维LDK宣传片、《赛维大厦将倾，政府紧急施救》新闻。</w:t>
      </w:r>
    </w:p>
    <w:p>
      <w:pPr>
        <w:widowControl/>
        <w:spacing w:before="156" w:beforeLines="50" w:line="360" w:lineRule="auto"/>
        <w:jc w:val="left"/>
        <w:rPr>
          <w:rFonts w:hint="eastAsia" w:ascii="宋体" w:cs="宋体"/>
          <w:kern w:val="0"/>
          <w:sz w:val="24"/>
        </w:rPr>
      </w:pPr>
      <w:r>
        <w:rPr>
          <w:rFonts w:hint="eastAsia" w:ascii="宋体" w:cs="宋体"/>
          <w:kern w:val="0"/>
          <w:sz w:val="24"/>
        </w:rPr>
        <w:t xml:space="preserve">  （2）政策模拟实验室设备支持：政策模拟实验室及其会议设备。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snapToGrid w:val="0"/>
      </w:pPr>
      <w:r>
        <w:rPr>
          <w:rStyle w:val="5"/>
        </w:rPr>
        <w:footnoteRef/>
      </w:r>
      <w:r>
        <w:t xml:space="preserve"> </w:t>
      </w:r>
      <w:r>
        <w:rPr>
          <w:rFonts w:hint="eastAsia"/>
          <w:sz w:val="18"/>
        </w:rPr>
        <w:t>李晓：东亚奇迹与强政府模式--东亚模式的制度分析，北京：</w:t>
      </w:r>
      <w:r>
        <w:rPr>
          <w:sz w:val="18"/>
        </w:rPr>
        <w:t>经济科学出版社</w:t>
      </w:r>
      <w:r>
        <w:rPr>
          <w:rFonts w:hint="eastAsia"/>
          <w:sz w:val="18"/>
        </w:rPr>
        <w:t>1996年版</w:t>
      </w:r>
      <w:r>
        <w:rPr>
          <w:rFonts w:hint="eastAsia" w:ascii="Arial" w:hAnsi="宋体"/>
          <w:color w:val="333333"/>
          <w:sz w:val="18"/>
          <w:shd w:val="clear" w:color="auto" w:fill="FFFFFF"/>
        </w:rPr>
        <w:t>。</w:t>
      </w:r>
    </w:p>
  </w:footnote>
  <w:footnote w:id="1">
    <w:p>
      <w:pPr>
        <w:pStyle w:val="2"/>
      </w:pPr>
      <w:r>
        <w:rPr>
          <w:rStyle w:val="5"/>
        </w:rPr>
        <w:footnoteRef/>
      </w:r>
      <w:r>
        <w:t xml:space="preserve"> </w:t>
      </w:r>
      <w:r>
        <w:rPr>
          <w:rFonts w:hint="eastAsia"/>
        </w:rPr>
        <w:t>张国庆：《市场选择与政府推动——新时期政府职能转变的价值抉择》，湖南社会科学2007年第4期。</w:t>
      </w:r>
    </w:p>
  </w:footnote>
  <w:footnote w:id="2">
    <w:p>
      <w:pPr>
        <w:snapToGrid w:val="0"/>
        <w:rPr>
          <w:sz w:val="18"/>
          <w:szCs w:val="18"/>
        </w:rPr>
      </w:pPr>
      <w:r>
        <w:rPr>
          <w:sz w:val="18"/>
        </w:rPr>
        <w:footnoteRef/>
      </w:r>
      <w:r>
        <w:rPr>
          <w:sz w:val="18"/>
        </w:rPr>
        <w:t xml:space="preserve"> </w:t>
      </w:r>
      <w:r>
        <w:rPr>
          <w:rFonts w:hint="eastAsia"/>
          <w:sz w:val="18"/>
        </w:rPr>
        <w:t>金辉：《张五常：中国改革做对了什么？》，《经济参考报》，2012年12月16日</w:t>
      </w:r>
      <w:r>
        <w:rPr>
          <w:rFonts w:hint="eastAsia" w:ascii="Arial" w:hAnsi="宋体"/>
          <w:sz w:val="18"/>
          <w:szCs w:val="18"/>
          <w:shd w:val="clear" w:color="auto" w:fill="FFFFFF"/>
        </w:rPr>
        <w:t>。</w:t>
      </w:r>
    </w:p>
  </w:footnote>
  <w:footnote w:id="3">
    <w:p>
      <w:pPr>
        <w:pStyle w:val="7"/>
        <w:ind w:firstLine="0" w:firstLineChars="0"/>
        <w:rPr>
          <w:sz w:val="18"/>
          <w:szCs w:val="18"/>
        </w:rPr>
      </w:pPr>
      <w:r>
        <w:rPr>
          <w:rFonts w:hint="eastAsia"/>
        </w:rPr>
        <w:t xml:space="preserve"> </w:t>
      </w:r>
      <w:r>
        <w:rPr>
          <w:rStyle w:val="5"/>
        </w:rPr>
        <w:footnoteRef/>
      </w:r>
      <w:r>
        <w:t xml:space="preserve"> </w:t>
      </w:r>
      <w:r>
        <w:rPr>
          <w:rFonts w:hint="eastAsia"/>
          <w:sz w:val="18"/>
          <w:szCs w:val="18"/>
        </w:rPr>
        <w:t>毛寿龙，“囚徒的难题”与“地方主义的泥淖”：中央与地方关系的再思考[J]，行政论坛，1996（3）：4-7.</w:t>
      </w:r>
    </w:p>
    <w:p>
      <w:pPr>
        <w:pStyle w:val="2"/>
      </w:pPr>
    </w:p>
  </w:footnote>
  <w:footnote w:id="4">
    <w:p>
      <w:pPr>
        <w:autoSpaceDN w:val="0"/>
        <w:spacing w:line="420" w:lineRule="atLeast"/>
        <w:jc w:val="left"/>
        <w:rPr>
          <w:sz w:val="18"/>
          <w:szCs w:val="18"/>
        </w:rPr>
      </w:pPr>
      <w:r>
        <w:rPr>
          <w:rStyle w:val="5"/>
        </w:rPr>
        <w:footnoteRef/>
      </w:r>
      <w:r>
        <w:t xml:space="preserve"> </w:t>
      </w:r>
      <w:r>
        <w:rPr>
          <w:rFonts w:hint="eastAsia"/>
          <w:sz w:val="18"/>
          <w:szCs w:val="18"/>
        </w:rPr>
        <w:t>新华社发布：</w:t>
      </w:r>
      <w:r>
        <w:rPr>
          <w:rFonts w:ascii="宋体" w:hAnsi="宋体"/>
          <w:sz w:val="18"/>
          <w:szCs w:val="18"/>
        </w:rPr>
        <w:t>中国共产党第十八届中央委员会第三次全体会议公报</w:t>
      </w:r>
      <w:r>
        <w:rPr>
          <w:rFonts w:hint="eastAsia" w:ascii="宋体" w:hAnsi="宋体"/>
          <w:sz w:val="18"/>
          <w:szCs w:val="18"/>
        </w:rPr>
        <w:t>[Z]，</w:t>
      </w:r>
      <w:r>
        <w:rPr>
          <w:rFonts w:ascii="宋体" w:hAnsi="宋体"/>
          <w:sz w:val="18"/>
          <w:szCs w:val="18"/>
        </w:rPr>
        <w:t xml:space="preserve"> 2013年11月12日中国共产党第十八届中央委员会第三次全体会议通过</w:t>
      </w:r>
      <w:r>
        <w:rPr>
          <w:rFonts w:hint="eastAsia" w:ascii="宋体" w:hAnsi="宋体"/>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ZDliZWY2ZWFjMDhmNjMxZDEzYjMwZjc4MmU0MWIifQ=="/>
  </w:docVars>
  <w:rsids>
    <w:rsidRoot w:val="60EE4449"/>
    <w:rsid w:val="293C1C4F"/>
    <w:rsid w:val="60EE4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20"/>
    </w:rPr>
  </w:style>
  <w:style w:type="character" w:styleId="5">
    <w:name w:val="footnote reference"/>
    <w:qFormat/>
    <w:uiPriority w:val="0"/>
    <w:rPr>
      <w:vertAlign w:val="superscript"/>
    </w:rPr>
  </w:style>
  <w:style w:type="paragraph" w:customStyle="1" w:styleId="6">
    <w:name w:val="列出段落1"/>
    <w:basedOn w:val="1"/>
    <w:autoRedefine/>
    <w:qFormat/>
    <w:uiPriority w:val="0"/>
    <w:pPr>
      <w:ind w:firstLine="420" w:firstLineChars="200"/>
    </w:pPr>
    <w:rPr>
      <w:szCs w:val="20"/>
    </w:rPr>
  </w:style>
  <w:style w:type="paragraph" w:styleId="7">
    <w:name w:val="List Paragraph"/>
    <w:basedOn w:val="1"/>
    <w:autoRedefine/>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2024-04-08T02:43:00Z</dcterms:created>
  <dc:creator>李佳莉(6316)</dc:creator>
  <cp:lastModifiedBy>李佳莉(6316)</cp:lastModifiedBy>
  <dcterms:modified xsi:type="dcterms:W3CDTF">2024-04-18T00:49:40Z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E6462DCBD1F544BD85D63CEDDB72C55B_13</vt:lpwstr>
  </property>
</Properties>
</file>