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</w:t>
      </w:r>
    </w:p>
    <w:p>
      <w:pPr>
        <w:spacing w:line="360" w:lineRule="auto"/>
        <w:ind w:left="48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公共管理案例调研与案例撰写竞赛评分标准</w:t>
      </w:r>
    </w:p>
    <w:p>
      <w:pPr>
        <w:spacing w:line="300" w:lineRule="auto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（暨案例评审量化表）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150"/>
        <w:gridCol w:w="748"/>
        <w:gridCol w:w="2581"/>
        <w:gridCol w:w="839"/>
        <w:gridCol w:w="2520"/>
        <w:gridCol w:w="900"/>
        <w:gridCol w:w="23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0" w:type="dxa"/>
            <w:gridSpan w:val="9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34"/>
              </w:rPr>
              <w:t>第一部分 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0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4"/>
              </w:rPr>
              <w:t>案例名称</w:t>
            </w:r>
          </w:p>
        </w:tc>
        <w:tc>
          <w:tcPr>
            <w:tcW w:w="5479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4259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案例编号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spacing w:line="400" w:lineRule="exact"/>
              <w:ind w:firstLine="130" w:firstLineChars="50"/>
              <w:jc w:val="left"/>
              <w:rPr>
                <w:rFonts w:hint="eastAsia" w:ascii="黑体" w:eastAsia="黑体"/>
                <w:bCs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0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评审日期</w:t>
            </w:r>
          </w:p>
        </w:tc>
        <w:tc>
          <w:tcPr>
            <w:tcW w:w="5479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黑体" w:eastAsia="黑体"/>
                <w:b/>
                <w:bCs/>
                <w:sz w:val="28"/>
              </w:rPr>
            </w:pPr>
          </w:p>
        </w:tc>
        <w:tc>
          <w:tcPr>
            <w:tcW w:w="4259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黑体" w:eastAsia="黑体"/>
                <w:bCs/>
                <w:sz w:val="26"/>
              </w:rPr>
            </w:pPr>
            <w:r>
              <w:rPr>
                <w:rFonts w:hint="eastAsia" w:ascii="黑体" w:eastAsia="黑体"/>
                <w:bCs/>
                <w:sz w:val="26"/>
              </w:rPr>
              <w:t>总分：</w:t>
            </w:r>
            <w:r>
              <w:rPr>
                <w:rFonts w:hint="eastAsia" w:ascii="黑体" w:eastAsia="黑体"/>
                <w:bCs/>
                <w:sz w:val="30"/>
              </w:rPr>
              <w:t>∑</w:t>
            </w:r>
            <w:r>
              <w:rPr>
                <w:rFonts w:ascii="黑体" w:eastAsia="黑体"/>
                <w:bCs/>
                <w:sz w:val="26"/>
              </w:rPr>
              <w:t>=</w:t>
            </w:r>
            <w:r>
              <w:rPr>
                <w:rFonts w:ascii="黑体" w:eastAsia="黑体"/>
                <w:bCs/>
                <w:sz w:val="30"/>
              </w:rPr>
              <w:t>x</w:t>
            </w:r>
            <w:r>
              <w:rPr>
                <w:rFonts w:ascii="黑体" w:eastAsia="黑体"/>
                <w:bCs/>
                <w:sz w:val="16"/>
              </w:rPr>
              <w:t>1</w:t>
            </w:r>
            <w:r>
              <w:rPr>
                <w:rFonts w:ascii="黑体" w:eastAsia="黑体"/>
                <w:bCs/>
                <w:sz w:val="26"/>
              </w:rPr>
              <w:t>+</w:t>
            </w:r>
            <w:r>
              <w:rPr>
                <w:rFonts w:ascii="黑体" w:eastAsia="黑体"/>
                <w:bCs/>
                <w:sz w:val="30"/>
              </w:rPr>
              <w:t>x</w:t>
            </w:r>
            <w:r>
              <w:rPr>
                <w:rFonts w:ascii="黑体" w:eastAsia="黑体"/>
                <w:bCs/>
                <w:sz w:val="16"/>
              </w:rPr>
              <w:t>2</w:t>
            </w:r>
            <w:r>
              <w:rPr>
                <w:rFonts w:ascii="黑体" w:eastAsia="黑体"/>
                <w:bCs/>
                <w:sz w:val="26"/>
              </w:rPr>
              <w:t>+</w:t>
            </w:r>
            <w:r>
              <w:rPr>
                <w:rFonts w:ascii="黑体" w:eastAsia="黑体"/>
                <w:bCs/>
                <w:sz w:val="30"/>
              </w:rPr>
              <w:t>x</w:t>
            </w:r>
            <w:r>
              <w:rPr>
                <w:rFonts w:ascii="黑体" w:eastAsia="黑体"/>
                <w:bCs/>
                <w:sz w:val="16"/>
              </w:rPr>
              <w:t>3</w:t>
            </w:r>
            <w:r>
              <w:rPr>
                <w:rFonts w:ascii="黑体" w:eastAsia="黑体"/>
                <w:bCs/>
                <w:sz w:val="26"/>
              </w:rPr>
              <w:t>+</w:t>
            </w:r>
            <w:r>
              <w:rPr>
                <w:rFonts w:ascii="黑体" w:eastAsia="黑体"/>
                <w:bCs/>
                <w:sz w:val="30"/>
              </w:rPr>
              <w:t>x</w:t>
            </w:r>
            <w:r>
              <w:rPr>
                <w:rFonts w:hint="eastAsia" w:ascii="黑体" w:eastAsia="黑体"/>
                <w:bCs/>
                <w:sz w:val="16"/>
              </w:rPr>
              <w:t>4……</w:t>
            </w:r>
            <w:r>
              <w:rPr>
                <w:rFonts w:ascii="黑体" w:eastAsia="黑体"/>
                <w:bCs/>
                <w:sz w:val="30"/>
              </w:rPr>
              <w:t>x</w:t>
            </w:r>
            <w:r>
              <w:rPr>
                <w:rFonts w:hint="eastAsia" w:ascii="黑体" w:eastAsia="黑体"/>
                <w:bCs/>
                <w:sz w:val="16"/>
              </w:rPr>
              <w:t>15</w:t>
            </w:r>
            <w:r>
              <w:rPr>
                <w:rFonts w:hint="eastAsia" w:ascii="黑体" w:eastAsia="黑体"/>
                <w:bCs/>
                <w:sz w:val="26"/>
              </w:rPr>
              <w:t>=（</w:t>
            </w:r>
            <w:r>
              <w:rPr>
                <w:rFonts w:ascii="黑体" w:eastAsia="黑体"/>
                <w:bCs/>
                <w:sz w:val="26"/>
              </w:rPr>
              <w:t xml:space="preserve">    </w:t>
            </w:r>
            <w:r>
              <w:rPr>
                <w:rFonts w:hint="eastAsia" w:ascii="黑体" w:eastAsia="黑体"/>
                <w:bCs/>
                <w:sz w:val="26"/>
              </w:rPr>
              <w:t>）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spacing w:line="400" w:lineRule="exact"/>
              <w:ind w:firstLine="130" w:firstLineChars="50"/>
              <w:jc w:val="left"/>
              <w:rPr>
                <w:rFonts w:hint="eastAsia" w:ascii="黑体" w:eastAsia="黑体"/>
                <w:bCs/>
                <w:sz w:val="26"/>
              </w:rPr>
            </w:pPr>
            <w:r>
              <w:rPr>
                <w:rFonts w:hint="eastAsia" w:ascii="黑体" w:eastAsia="黑体"/>
                <w:bCs/>
                <w:sz w:val="26"/>
              </w:rPr>
              <w:t>评价等级：（</w:t>
            </w:r>
            <w:r>
              <w:rPr>
                <w:rFonts w:ascii="黑体" w:eastAsia="黑体"/>
                <w:bCs/>
                <w:sz w:val="26"/>
              </w:rPr>
              <w:t xml:space="preserve">   </w:t>
            </w:r>
            <w:r>
              <w:rPr>
                <w:rFonts w:hint="eastAsia" w:ascii="黑体" w:eastAsia="黑体"/>
                <w:bCs/>
                <w:sz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案例所属领域</w:t>
            </w:r>
          </w:p>
        </w:tc>
        <w:tc>
          <w:tcPr>
            <w:tcW w:w="12798" w:type="dxa"/>
            <w:gridSpan w:val="8"/>
            <w:noWrap w:val="0"/>
            <w:vAlign w:val="top"/>
          </w:tcPr>
          <w:p>
            <w:pPr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□</w:t>
            </w:r>
            <w:r>
              <w:rPr>
                <w:rFonts w:hint="eastAsia"/>
                <w:sz w:val="23"/>
              </w:rPr>
              <w:t>政府治理与领导</w:t>
            </w:r>
            <w:r>
              <w:rPr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 xml:space="preserve">  </w:t>
            </w:r>
            <w:r>
              <w:rPr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 xml:space="preserve">  □公共政策      □</w:t>
            </w:r>
            <w:r>
              <w:rPr>
                <w:rFonts w:hint="eastAsia"/>
                <w:sz w:val="23"/>
              </w:rPr>
              <w:t>非营利组织管理</w:t>
            </w:r>
            <w:r>
              <w:rPr>
                <w:rFonts w:hint="eastAsia"/>
                <w:sz w:val="23"/>
                <w:szCs w:val="21"/>
              </w:rPr>
              <w:t xml:space="preserve">        □公共</w:t>
            </w:r>
            <w:r>
              <w:rPr>
                <w:rFonts w:hint="eastAsia"/>
                <w:sz w:val="23"/>
              </w:rPr>
              <w:t>财政与税收管理</w:t>
            </w:r>
            <w:r>
              <w:rPr>
                <w:sz w:val="23"/>
                <w:szCs w:val="21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 xml:space="preserve"> □</w:t>
            </w:r>
            <w:r>
              <w:rPr>
                <w:rFonts w:hint="eastAsia"/>
                <w:sz w:val="23"/>
              </w:rPr>
              <w:t xml:space="preserve">卫生政策与管理 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</w:p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  <w:szCs w:val="21"/>
              </w:rPr>
              <w:t>□</w:t>
            </w:r>
            <w:r>
              <w:rPr>
                <w:rFonts w:hint="eastAsia"/>
                <w:sz w:val="23"/>
              </w:rPr>
              <w:t xml:space="preserve">公共安全与应急管理  </w:t>
            </w:r>
            <w:r>
              <w:rPr>
                <w:rFonts w:hint="eastAsia"/>
                <w:sz w:val="23"/>
                <w:szCs w:val="21"/>
              </w:rPr>
              <w:t>□</w:t>
            </w:r>
            <w:r>
              <w:rPr>
                <w:rFonts w:hint="eastAsia"/>
                <w:sz w:val="23"/>
              </w:rPr>
              <w:t>区域发展与城市管理</w:t>
            </w:r>
            <w:r>
              <w:rPr>
                <w:rFonts w:hint="eastAsia"/>
                <w:sz w:val="23"/>
                <w:szCs w:val="21"/>
              </w:rPr>
              <w:t xml:space="preserve">      □组织与</w:t>
            </w:r>
            <w:r>
              <w:rPr>
                <w:rFonts w:hint="eastAsia"/>
                <w:sz w:val="23"/>
              </w:rPr>
              <w:t xml:space="preserve">人力资源管理 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>□</w:t>
            </w:r>
            <w:r>
              <w:rPr>
                <w:rFonts w:hint="eastAsia"/>
                <w:sz w:val="23"/>
              </w:rPr>
              <w:t>社会保障</w:t>
            </w:r>
            <w:r>
              <w:rPr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 xml:space="preserve">  □</w:t>
            </w:r>
            <w:r>
              <w:rPr>
                <w:rFonts w:hint="eastAsia"/>
                <w:sz w:val="23"/>
              </w:rPr>
              <w:t xml:space="preserve">管理科学与决策  </w:t>
            </w:r>
          </w:p>
          <w:p>
            <w:pPr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□住房与城乡建设</w:t>
            </w:r>
            <w:r>
              <w:rPr>
                <w:rFonts w:hint="eastAsia"/>
                <w:sz w:val="23"/>
              </w:rPr>
              <w:t xml:space="preserve">      </w:t>
            </w:r>
            <w:r>
              <w:rPr>
                <w:rFonts w:hint="eastAsia"/>
                <w:sz w:val="23"/>
                <w:szCs w:val="21"/>
              </w:rPr>
              <w:t>□</w:t>
            </w:r>
            <w:r>
              <w:rPr>
                <w:rFonts w:hint="eastAsia"/>
                <w:sz w:val="23"/>
              </w:rPr>
              <w:t xml:space="preserve">土地利用与城乡发展    </w:t>
            </w:r>
            <w:r>
              <w:rPr>
                <w:rFonts w:hint="eastAsia"/>
                <w:sz w:val="23"/>
                <w:szCs w:val="21"/>
              </w:rPr>
              <w:t xml:space="preserve">  □教育政策与管理</w:t>
            </w:r>
            <w:r>
              <w:rPr>
                <w:rFonts w:hint="eastAsia"/>
                <w:sz w:val="23"/>
              </w:rPr>
              <w:t xml:space="preserve">        </w:t>
            </w:r>
            <w:r>
              <w:rPr>
                <w:rFonts w:hint="eastAsia"/>
                <w:sz w:val="23"/>
                <w:szCs w:val="21"/>
              </w:rPr>
              <w:t>□</w:t>
            </w:r>
            <w:r>
              <w:rPr>
                <w:rFonts w:hint="eastAsia"/>
                <w:sz w:val="23"/>
              </w:rPr>
              <w:t>电子政务</w:t>
            </w:r>
            <w:r>
              <w:rPr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>□</w:t>
            </w:r>
            <w:r>
              <w:rPr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其他</w:t>
            </w:r>
            <w:r>
              <w:rPr>
                <w:rFonts w:hint="eastAsia"/>
                <w:sz w:val="23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16"/>
              </w:rPr>
              <w:t>(请填写)</w:t>
            </w:r>
            <w:r>
              <w:rPr>
                <w:rFonts w:hint="eastAsia"/>
                <w:sz w:val="23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2798" w:type="dxa"/>
            <w:gridSpan w:val="8"/>
            <w:noWrap w:val="0"/>
            <w:vAlign w:val="top"/>
          </w:tcPr>
          <w:p>
            <w:pPr>
              <w:spacing w:line="400" w:lineRule="exact"/>
              <w:ind w:firstLine="3150" w:firstLineChars="1046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30"/>
              </w:rPr>
              <w:t>第二部分 案例正文  满分100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02" w:type="dxa"/>
            <w:noWrap w:val="0"/>
            <w:vAlign w:val="center"/>
          </w:tcPr>
          <w:p>
            <w:pPr>
              <w:ind w:left="1380" w:hanging="1380" w:hangingChars="600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028700" cy="594360"/>
                      <wp:effectExtent l="2540" t="3810" r="16510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1pt;height:46.8pt;width:81pt;z-index:251659264;mso-width-relative:page;mso-height-relative:page;" filled="f" coordsize="21600,21600" o:gfxdata="UEsDBAoAAAAAAIdO4kAAAAAAAAAAAAAAAAAEAAAAZHJzL1BLAwQUAAAACACHTuJAWkuVLdUAAAAI&#10;AQAADwAAAGRycy9kb3ducmV2LnhtbE2PzU7DMBCE70i8g7VIXKrWTgoIQpwegNy4UEBct/GSRMTr&#10;NHZ/4OnZnuA2q1nNfFOujn5Qe5piH9hCtjCgiJvgem4tvL3W81tQMSE7HAKThW+KsKrOz0osXDjw&#10;C+3XqVUSwrFAC11KY6F1bDryGBdhJBbvM0wek5xTq92EBwn3g86NudEee5aGDkd66Kj5Wu+8hVi/&#10;07b+mTUz87FsA+Xbx+cntPbyIjP3oBId098znPAFHSph2oQdu6gGC/PMCHoSkYM6+deZiI2Fu+UV&#10;6KrU/wdUv1BLAwQUAAAACACHTuJAz5xzu/oBAADpAwAADgAAAGRycy9lMm9Eb2MueG1srVPNjtMw&#10;EL4j8Q6W7zRpoctu1HQPlOWCYKWFB5g6TmLJf/K4TfsSvAASNzhx5M7bsDwGY6fbXZZLD+TgjD3j&#10;b+b7PLO43BnNtjKgcrbm00nJmbTCNcp2Nf/44erZOWcYwTagnZU130vkl8unTxaDr+TM9U43MjAC&#10;sVgNvuZ9jL4qChS9NIAT56UlZ+uCgUjb0BVNgIHQjS5mZXlWDC40PjghEel0NTr5ATGcAujaVgm5&#10;cmJjpI0japAaIlHCXnnky1xt20oR37ctysh0zYlpzCslIXud1mK5gKoL4HslDiXAKSU84mRAWUp6&#10;hFpBBLYJ6h8oo0Rw6No4Ec4UI5GsCLGYlo+0uenBy8yFpEZ/FB3/H6x4t70OTDXUCZxZMPTgt59/&#10;/Pr09ffPL7Tefv/GpkmkwWNFsTf+Ohx2SGZivGuDSX/iwnZZ2P1RWLmLTNDhtJydvyxJc0G++cWL&#10;52dZ+eL+tg8Y30hnWDJqrpVNxKGC7VuMlJFC70LSsbZsqPnFfDYnTKAubOn1yTSemKDt8l10WjVX&#10;Sut0A0O3fqUD20LqhPwlXoT7V1hKsgLsx7jsGnukl9C8tg2Le08aWRoNnkowsuFMS5qkZBEgVBGU&#10;PiWSUmtLFSRpRzGTtXbNnl5k44PqelIiq59jqANyvYduTS32cJ+R7id0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S5Ut1QAAAAgBAAAPAAAAAAAAAAEAIAAAACIAAABkcnMvZG93bnJldi54bWxQ&#10;SwECFAAUAAAACACHTuJAz5xzu/oBAADpAwAADgAAAAAAAAABACAAAAAkAQAAZHJzL2Uyb0RvYy54&#10;bWxQSwUGAAAAAAYABgBZAQAAkA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3"/>
              </w:rPr>
              <w:t xml:space="preserve">    评分等级                    </w:t>
            </w:r>
          </w:p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评价内容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优秀</w:t>
            </w:r>
          </w:p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>
              <w:rPr>
                <w:sz w:val="23"/>
              </w:rPr>
              <w:t>10.0</w:t>
            </w:r>
            <w:r>
              <w:rPr>
                <w:rFonts w:hint="eastAsia"/>
                <w:sz w:val="23"/>
              </w:rPr>
              <w:t>≥</w:t>
            </w:r>
            <w:r>
              <w:rPr>
                <w:sz w:val="23"/>
              </w:rPr>
              <w:t>X</w:t>
            </w:r>
            <w:r>
              <w:rPr>
                <w:rFonts w:hint="eastAsia"/>
                <w:sz w:val="23"/>
              </w:rPr>
              <w:t>≥</w:t>
            </w:r>
            <w:r>
              <w:rPr>
                <w:sz w:val="23"/>
              </w:rPr>
              <w:t>9.0</w:t>
            </w:r>
            <w:r>
              <w:rPr>
                <w:rFonts w:hint="eastAsia"/>
                <w:sz w:val="23"/>
              </w:rPr>
              <w:t>）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评分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良好</w:t>
            </w:r>
          </w:p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>
              <w:rPr>
                <w:sz w:val="23"/>
              </w:rPr>
              <w:t>8.9</w:t>
            </w:r>
            <w:r>
              <w:rPr>
                <w:rFonts w:hint="eastAsia"/>
                <w:sz w:val="23"/>
              </w:rPr>
              <w:t>≥</w:t>
            </w:r>
            <w:r>
              <w:rPr>
                <w:sz w:val="23"/>
              </w:rPr>
              <w:t>X</w:t>
            </w:r>
            <w:r>
              <w:rPr>
                <w:rFonts w:hint="eastAsia"/>
                <w:sz w:val="23"/>
              </w:rPr>
              <w:t>≥</w:t>
            </w:r>
            <w:r>
              <w:rPr>
                <w:sz w:val="23"/>
              </w:rPr>
              <w:t>7.1</w:t>
            </w:r>
            <w:r>
              <w:rPr>
                <w:rFonts w:hint="eastAsia"/>
                <w:sz w:val="23"/>
              </w:rPr>
              <w:t>）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评分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合格</w:t>
            </w:r>
          </w:p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>
              <w:rPr>
                <w:sz w:val="23"/>
              </w:rPr>
              <w:t>7.0</w:t>
            </w:r>
            <w:r>
              <w:rPr>
                <w:rFonts w:hint="eastAsia"/>
                <w:sz w:val="23"/>
              </w:rPr>
              <w:t>≥</w:t>
            </w:r>
            <w:r>
              <w:rPr>
                <w:sz w:val="23"/>
              </w:rPr>
              <w:t>X</w:t>
            </w:r>
            <w:r>
              <w:rPr>
                <w:rFonts w:hint="eastAsia"/>
                <w:sz w:val="23"/>
              </w:rPr>
              <w:t>≥</w:t>
            </w:r>
            <w:r>
              <w:rPr>
                <w:sz w:val="23"/>
              </w:rPr>
              <w:t>6.0</w:t>
            </w:r>
            <w:r>
              <w:rPr>
                <w:rFonts w:hint="eastAsia"/>
                <w:sz w:val="23"/>
              </w:rPr>
              <w:t>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评分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不合格</w:t>
            </w:r>
          </w:p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>
              <w:rPr>
                <w:sz w:val="23"/>
              </w:rPr>
              <w:t>5.9</w:t>
            </w:r>
            <w:r>
              <w:rPr>
                <w:rFonts w:hint="eastAsia"/>
                <w:sz w:val="23"/>
              </w:rPr>
              <w:t>≥</w:t>
            </w:r>
            <w:r>
              <w:rPr>
                <w:sz w:val="23"/>
              </w:rPr>
              <w:t>X</w:t>
            </w:r>
            <w:r>
              <w:rPr>
                <w:rFonts w:hint="eastAsia"/>
                <w:sz w:val="23"/>
              </w:rPr>
              <w:t>＞</w:t>
            </w:r>
            <w:r>
              <w:rPr>
                <w:sz w:val="23"/>
              </w:rPr>
              <w:t>0</w:t>
            </w:r>
            <w:r>
              <w:rPr>
                <w:rFonts w:hint="eastAsia"/>
                <w:sz w:val="23"/>
              </w:rPr>
              <w:t>）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4"/>
              </w:rPr>
              <w:t>选题规范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ascii="黑体" w:eastAsia="黑体"/>
                <w:bCs/>
                <w:sz w:val="14"/>
              </w:rPr>
              <w:t>1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选题十分本土化，十分典型和具有代表性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选题比较本土化，比较典型和具有代表性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选题比较一般，不太具有典型性和代表性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选题不适宜，不典型，不具有代表性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摘要概括 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摘要概括性十分好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摘要概括性较好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摘要概括性一般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摘要概括性差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文献研究</w:t>
            </w:r>
            <w:r>
              <w:rPr>
                <w:rFonts w:ascii="黑体" w:eastAsia="黑体"/>
                <w:bCs/>
                <w:sz w:val="28"/>
              </w:rPr>
              <w:t>x</w:t>
            </w:r>
            <w:r>
              <w:rPr>
                <w:rFonts w:hint="eastAsia" w:ascii="黑体" w:eastAsia="黑体"/>
                <w:bCs/>
                <w:sz w:val="28"/>
                <w:vertAlign w:val="subscript"/>
              </w:rPr>
              <w:t>3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广泛阅读有关文献，充分掌握国内、外研究动态，资料翔实（含外文）、运用贴切、并有力支持选题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阅读了有关文献，较好地掌握了本案例选题前人研究工作，资料较翔实、运用贴切、综合分析能力较强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文献阅读量和掌握的资料能够满足案例需要，对前人的研究基本了解，且所运用的文献资料基本正确、能够进行综合分析。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文献阅读量及资料不能够满足案例需要，材料运用较差或综合分析能力差。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分析水平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hint="eastAsia" w:ascii="黑体" w:eastAsia="黑体"/>
                <w:bCs/>
                <w:sz w:val="38"/>
                <w:vertAlign w:val="subscript"/>
              </w:rPr>
              <w:t>4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sz w:val="23"/>
              </w:rPr>
              <w:t>问题</w:t>
            </w:r>
            <w:r>
              <w:rPr>
                <w:rFonts w:hint="eastAsia"/>
                <w:sz w:val="23"/>
              </w:rPr>
              <w:t>分析十分</w:t>
            </w:r>
            <w:r>
              <w:rPr>
                <w:sz w:val="23"/>
              </w:rPr>
              <w:t>透彻、严谨，背景、原因分析</w:t>
            </w:r>
            <w:r>
              <w:rPr>
                <w:rFonts w:hint="eastAsia"/>
                <w:sz w:val="23"/>
              </w:rPr>
              <w:t>非常</w:t>
            </w:r>
            <w:r>
              <w:rPr>
                <w:sz w:val="23"/>
              </w:rPr>
              <w:t>恰当</w:t>
            </w:r>
            <w:r>
              <w:rPr>
                <w:rFonts w:hint="eastAsia"/>
                <w:sz w:val="23"/>
              </w:rPr>
              <w:t>。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问题分析比较透彻、严谨。</w:t>
            </w:r>
            <w:r>
              <w:rPr>
                <w:sz w:val="23"/>
              </w:rPr>
              <w:t>背景、原因分析</w:t>
            </w:r>
            <w:r>
              <w:rPr>
                <w:rFonts w:hint="eastAsia"/>
                <w:sz w:val="23"/>
              </w:rPr>
              <w:t>比较</w:t>
            </w:r>
            <w:r>
              <w:rPr>
                <w:sz w:val="23"/>
              </w:rPr>
              <w:t>恰当</w:t>
            </w:r>
            <w:r>
              <w:rPr>
                <w:rFonts w:hint="eastAsia"/>
                <w:sz w:val="23"/>
              </w:rPr>
              <w:t>。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问题分析不透彻、不严谨。原因、背景较为肤浅。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问题分析肤浅和漏洞百出。原因、背景分析不恰当。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写作</w:t>
            </w:r>
            <w:r>
              <w:rPr>
                <w:rFonts w:hint="eastAsia"/>
                <w:sz w:val="24"/>
              </w:rPr>
              <w:t>能力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hint="eastAsia" w:ascii="黑体" w:eastAsia="黑体"/>
                <w:bCs/>
                <w:sz w:val="16"/>
              </w:rPr>
              <w:t>5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概念准确、条理清晰、文笔流畅、写作非常规范。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概念准确、条理性好、文笔较好、写作比较规范。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写作能力尚可、文笔一般、写作基本规范。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写作能力较差，文笔不顺，写作很不规范。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解决方案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hint="eastAsia" w:ascii="黑体" w:eastAsia="黑体"/>
                <w:bCs/>
                <w:sz w:val="16"/>
              </w:rPr>
              <w:t>6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sz w:val="23"/>
              </w:rPr>
              <w:t>给出的解决方案</w:t>
            </w:r>
            <w:r>
              <w:rPr>
                <w:rFonts w:hint="eastAsia"/>
                <w:sz w:val="23"/>
              </w:rPr>
              <w:t>非常</w:t>
            </w:r>
            <w:r>
              <w:rPr>
                <w:sz w:val="23"/>
              </w:rPr>
              <w:t>具</w:t>
            </w:r>
            <w:r>
              <w:rPr>
                <w:rFonts w:hint="eastAsia"/>
                <w:sz w:val="23"/>
              </w:rPr>
              <w:t>有</w:t>
            </w:r>
            <w:r>
              <w:rPr>
                <w:sz w:val="23"/>
              </w:rPr>
              <w:t>可行性合理性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sz w:val="23"/>
              </w:rPr>
              <w:t>给出的解决方案</w:t>
            </w:r>
            <w:r>
              <w:rPr>
                <w:rFonts w:hint="eastAsia"/>
                <w:sz w:val="23"/>
              </w:rPr>
              <w:t>比较</w:t>
            </w:r>
            <w:r>
              <w:rPr>
                <w:sz w:val="23"/>
              </w:rPr>
              <w:t>具</w:t>
            </w:r>
            <w:r>
              <w:rPr>
                <w:rFonts w:hint="eastAsia"/>
                <w:sz w:val="23"/>
              </w:rPr>
              <w:t>有</w:t>
            </w:r>
            <w:r>
              <w:rPr>
                <w:sz w:val="23"/>
              </w:rPr>
              <w:t>可行性合理性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sz w:val="23"/>
              </w:rPr>
              <w:t>给出的解决方案</w:t>
            </w:r>
            <w:r>
              <w:rPr>
                <w:rFonts w:hint="eastAsia"/>
                <w:sz w:val="23"/>
              </w:rPr>
              <w:t>可行性和合理性一般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sz w:val="23"/>
              </w:rPr>
              <w:t>给出的解决方案</w:t>
            </w:r>
            <w:r>
              <w:rPr>
                <w:rFonts w:hint="eastAsia"/>
                <w:sz w:val="23"/>
              </w:rPr>
              <w:t>不</w:t>
            </w:r>
            <w:r>
              <w:rPr>
                <w:sz w:val="23"/>
              </w:rPr>
              <w:t>具</w:t>
            </w:r>
            <w:r>
              <w:rPr>
                <w:rFonts w:hint="eastAsia"/>
                <w:sz w:val="23"/>
              </w:rPr>
              <w:t>有</w:t>
            </w:r>
            <w:r>
              <w:rPr>
                <w:sz w:val="23"/>
              </w:rPr>
              <w:t>可行性合理性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时效性 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hint="eastAsia" w:ascii="黑体" w:eastAsia="黑体"/>
                <w:bCs/>
                <w:sz w:val="16"/>
              </w:rPr>
              <w:t>7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案例时效性强，为近两年内案例。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案例时效性较强，为近两到四年内案例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案例时效性一般，为近四到六年内案例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案例时效性不强，为近六年以上案例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启发性 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hint="eastAsia" w:ascii="黑体" w:eastAsia="黑体"/>
                <w:bCs/>
                <w:sz w:val="16"/>
              </w:rPr>
              <w:t>8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十分能引发读者大量思考，能从多维度进行分析。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较能启发读者思考，思考维度较为多样。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能启发读者思考，但思考方向比较局限。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启发意义不大，思考维度十分狭小。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left" w:pos="1584"/>
              </w:tabs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创新性 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hint="eastAsia" w:ascii="黑体" w:eastAsia="黑体"/>
                <w:bCs/>
                <w:sz w:val="16"/>
              </w:rPr>
              <w:t>9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案例研究方法和过程具有创新性，具有独到结论。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案例研究方法和过程比较创新，结论较有独到性。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研究方法和过程创新性一般，结论普通。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研究方法、研究过程和研究结论不具有创新点。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84"/>
              </w:tabs>
              <w:ind w:firstLine="125" w:firstLineChars="5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 xml:space="preserve">科学性 </w:t>
            </w:r>
            <w:r>
              <w:rPr>
                <w:rFonts w:ascii="黑体" w:eastAsia="黑体"/>
                <w:bCs/>
                <w:sz w:val="36"/>
              </w:rPr>
              <w:t>x</w:t>
            </w:r>
            <w:r>
              <w:rPr>
                <w:rFonts w:hint="eastAsia" w:ascii="黑体" w:eastAsia="黑体"/>
                <w:bCs/>
                <w:sz w:val="34"/>
                <w:vertAlign w:val="subscript"/>
              </w:rPr>
              <w:t>10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熟练和恰当地使用管理工具协助研究，非常注重使用第一手数据、图表等资料。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比较熟练和恰当地使用管理工具协助研究，较注重第一手数据、图表的使用。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使用了一些简单的管理工具，主要使用二手数据和图表。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3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极少甚至不使用管理工具，缺乏数据和图表的使用。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ZDliZWY2ZWFjMDhmNjMxZDEzYjMwZjc4MmU0MWIifQ=="/>
  </w:docVars>
  <w:rsids>
    <w:rsidRoot w:val="489A68D8"/>
    <w:rsid w:val="489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2024-04-08T02:40:00Z</dcterms:created>
  <dc:creator>李佳莉(6316)</dc:creator>
  <cp:lastModifiedBy>李佳莉(6316)</cp:lastModifiedBy>
  <dcterms:modified xsi:type="dcterms:W3CDTF">2024-04-08T02:42:43Z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109365C6F9CC4777B202A726576FFD25_11</vt:lpwstr>
  </property>
</Properties>
</file>