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6" w:rsidRDefault="00581376" w:rsidP="0058137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附件3：</w:t>
      </w:r>
    </w:p>
    <w:p w:rsidR="00581376" w:rsidRDefault="00581376" w:rsidP="00581376">
      <w:pPr>
        <w:spacing w:line="360" w:lineRule="auto"/>
        <w:ind w:left="48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公共管理案例调研与案例撰写竞赛评分标准</w:t>
      </w:r>
    </w:p>
    <w:p w:rsidR="00581376" w:rsidRDefault="00581376" w:rsidP="00581376">
      <w:pPr>
        <w:spacing w:line="30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（暨案例评审量化表）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150"/>
        <w:gridCol w:w="748"/>
        <w:gridCol w:w="2581"/>
        <w:gridCol w:w="839"/>
        <w:gridCol w:w="2520"/>
        <w:gridCol w:w="900"/>
        <w:gridCol w:w="2340"/>
        <w:gridCol w:w="720"/>
      </w:tblGrid>
      <w:tr w:rsidR="00581376" w:rsidTr="002A1B9F">
        <w:trPr>
          <w:trHeight w:val="461"/>
        </w:trPr>
        <w:tc>
          <w:tcPr>
            <w:tcW w:w="14400" w:type="dxa"/>
            <w:gridSpan w:val="9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34"/>
              </w:rPr>
              <w:t>第一部分 基本信息</w:t>
            </w:r>
          </w:p>
        </w:tc>
      </w:tr>
      <w:tr w:rsidR="00581376" w:rsidTr="002A1B9F">
        <w:trPr>
          <w:trHeight w:val="458"/>
        </w:trPr>
        <w:tc>
          <w:tcPr>
            <w:tcW w:w="1602" w:type="dxa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4"/>
              </w:rPr>
              <w:t>案例名称</w:t>
            </w:r>
          </w:p>
        </w:tc>
        <w:tc>
          <w:tcPr>
            <w:tcW w:w="5479" w:type="dxa"/>
            <w:gridSpan w:val="3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4259" w:type="dxa"/>
            <w:gridSpan w:val="3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案例编号</w:t>
            </w:r>
          </w:p>
        </w:tc>
        <w:tc>
          <w:tcPr>
            <w:tcW w:w="3060" w:type="dxa"/>
            <w:gridSpan w:val="2"/>
          </w:tcPr>
          <w:p w:rsidR="00581376" w:rsidRDefault="00581376" w:rsidP="002A1B9F">
            <w:pPr>
              <w:spacing w:line="400" w:lineRule="exact"/>
              <w:ind w:firstLineChars="50" w:firstLine="130"/>
              <w:jc w:val="left"/>
              <w:rPr>
                <w:rFonts w:ascii="黑体" w:eastAsia="黑体"/>
                <w:bCs/>
                <w:sz w:val="26"/>
              </w:rPr>
            </w:pPr>
          </w:p>
        </w:tc>
      </w:tr>
      <w:tr w:rsidR="00581376" w:rsidTr="002A1B9F">
        <w:trPr>
          <w:trHeight w:val="458"/>
        </w:trPr>
        <w:tc>
          <w:tcPr>
            <w:tcW w:w="1602" w:type="dxa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评审日期</w:t>
            </w:r>
          </w:p>
        </w:tc>
        <w:tc>
          <w:tcPr>
            <w:tcW w:w="5479" w:type="dxa"/>
            <w:gridSpan w:val="3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4259" w:type="dxa"/>
            <w:gridSpan w:val="3"/>
          </w:tcPr>
          <w:p w:rsidR="00581376" w:rsidRDefault="00581376" w:rsidP="002A1B9F">
            <w:pPr>
              <w:spacing w:line="400" w:lineRule="exact"/>
              <w:jc w:val="left"/>
              <w:rPr>
                <w:rFonts w:ascii="黑体" w:eastAsia="黑体"/>
                <w:bCs/>
                <w:sz w:val="26"/>
              </w:rPr>
            </w:pPr>
            <w:r>
              <w:rPr>
                <w:rFonts w:ascii="黑体" w:eastAsia="黑体" w:hint="eastAsia"/>
                <w:bCs/>
                <w:sz w:val="26"/>
              </w:rPr>
              <w:t>总分：</w:t>
            </w:r>
            <w:r>
              <w:rPr>
                <w:rFonts w:ascii="黑体" w:eastAsia="黑体" w:hint="eastAsia"/>
                <w:bCs/>
                <w:sz w:val="30"/>
              </w:rPr>
              <w:t>∑</w:t>
            </w:r>
            <w:r>
              <w:rPr>
                <w:rFonts w:ascii="黑体" w:eastAsia="黑体"/>
                <w:bCs/>
                <w:sz w:val="26"/>
              </w:rPr>
              <w:t>=</w:t>
            </w:r>
            <w:r>
              <w:rPr>
                <w:rFonts w:ascii="黑体" w:eastAsia="黑体"/>
                <w:bCs/>
                <w:sz w:val="30"/>
              </w:rPr>
              <w:t>x</w:t>
            </w:r>
            <w:r>
              <w:rPr>
                <w:rFonts w:ascii="黑体" w:eastAsia="黑体"/>
                <w:bCs/>
                <w:sz w:val="16"/>
              </w:rPr>
              <w:t>1</w:t>
            </w:r>
            <w:r>
              <w:rPr>
                <w:rFonts w:ascii="黑体" w:eastAsia="黑体"/>
                <w:bCs/>
                <w:sz w:val="26"/>
              </w:rPr>
              <w:t>+</w:t>
            </w:r>
            <w:r>
              <w:rPr>
                <w:rFonts w:ascii="黑体" w:eastAsia="黑体"/>
                <w:bCs/>
                <w:sz w:val="30"/>
              </w:rPr>
              <w:t>x</w:t>
            </w:r>
            <w:r>
              <w:rPr>
                <w:rFonts w:ascii="黑体" w:eastAsia="黑体"/>
                <w:bCs/>
                <w:sz w:val="16"/>
              </w:rPr>
              <w:t>2</w:t>
            </w:r>
            <w:r>
              <w:rPr>
                <w:rFonts w:ascii="黑体" w:eastAsia="黑体"/>
                <w:bCs/>
                <w:sz w:val="26"/>
              </w:rPr>
              <w:t>+</w:t>
            </w:r>
            <w:r>
              <w:rPr>
                <w:rFonts w:ascii="黑体" w:eastAsia="黑体"/>
                <w:bCs/>
                <w:sz w:val="30"/>
              </w:rPr>
              <w:t>x</w:t>
            </w:r>
            <w:r>
              <w:rPr>
                <w:rFonts w:ascii="黑体" w:eastAsia="黑体"/>
                <w:bCs/>
                <w:sz w:val="16"/>
              </w:rPr>
              <w:t>3</w:t>
            </w:r>
            <w:r>
              <w:rPr>
                <w:rFonts w:ascii="黑体" w:eastAsia="黑体"/>
                <w:bCs/>
                <w:sz w:val="26"/>
              </w:rPr>
              <w:t>+</w:t>
            </w:r>
            <w:r>
              <w:rPr>
                <w:rFonts w:ascii="黑体" w:eastAsia="黑体"/>
                <w:bCs/>
                <w:sz w:val="30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4……</w:t>
            </w:r>
            <w:r>
              <w:rPr>
                <w:rFonts w:ascii="黑体" w:eastAsia="黑体"/>
                <w:bCs/>
                <w:sz w:val="30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15</w:t>
            </w:r>
            <w:r>
              <w:rPr>
                <w:rFonts w:ascii="黑体" w:eastAsia="黑体" w:hint="eastAsia"/>
                <w:bCs/>
                <w:sz w:val="26"/>
              </w:rPr>
              <w:t>=（</w:t>
            </w:r>
            <w:r>
              <w:rPr>
                <w:rFonts w:ascii="黑体" w:eastAsia="黑体"/>
                <w:bCs/>
                <w:sz w:val="26"/>
              </w:rPr>
              <w:t xml:space="preserve">    </w:t>
            </w:r>
            <w:r>
              <w:rPr>
                <w:rFonts w:ascii="黑体" w:eastAsia="黑体" w:hint="eastAsia"/>
                <w:bCs/>
                <w:sz w:val="26"/>
              </w:rPr>
              <w:t>）</w:t>
            </w:r>
          </w:p>
        </w:tc>
        <w:tc>
          <w:tcPr>
            <w:tcW w:w="3060" w:type="dxa"/>
            <w:gridSpan w:val="2"/>
          </w:tcPr>
          <w:p w:rsidR="00581376" w:rsidRDefault="00581376" w:rsidP="002A1B9F">
            <w:pPr>
              <w:spacing w:line="400" w:lineRule="exact"/>
              <w:ind w:firstLineChars="50" w:firstLine="130"/>
              <w:jc w:val="left"/>
              <w:rPr>
                <w:rFonts w:ascii="黑体" w:eastAsia="黑体"/>
                <w:bCs/>
                <w:sz w:val="26"/>
              </w:rPr>
            </w:pPr>
            <w:r>
              <w:rPr>
                <w:rFonts w:ascii="黑体" w:eastAsia="黑体" w:hint="eastAsia"/>
                <w:bCs/>
                <w:sz w:val="26"/>
              </w:rPr>
              <w:t>评价等级：（</w:t>
            </w:r>
            <w:r>
              <w:rPr>
                <w:rFonts w:ascii="黑体" w:eastAsia="黑体"/>
                <w:bCs/>
                <w:sz w:val="26"/>
              </w:rPr>
              <w:t xml:space="preserve">   </w:t>
            </w:r>
            <w:r>
              <w:rPr>
                <w:rFonts w:ascii="黑体" w:eastAsia="黑体" w:hint="eastAsia"/>
                <w:bCs/>
                <w:sz w:val="26"/>
              </w:rPr>
              <w:t>）</w:t>
            </w:r>
          </w:p>
        </w:tc>
      </w:tr>
      <w:tr w:rsidR="00581376" w:rsidTr="002A1B9F">
        <w:trPr>
          <w:trHeight w:val="996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案例所属领域</w:t>
            </w:r>
          </w:p>
        </w:tc>
        <w:tc>
          <w:tcPr>
            <w:tcW w:w="12798" w:type="dxa"/>
            <w:gridSpan w:val="8"/>
          </w:tcPr>
          <w:p w:rsidR="00581376" w:rsidRDefault="00581376" w:rsidP="002A1B9F">
            <w:pPr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政府治理与领导</w:t>
            </w:r>
            <w:r>
              <w:rPr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 xml:space="preserve">  </w:t>
            </w:r>
            <w:r>
              <w:rPr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□公共政策</w:t>
            </w:r>
            <w:r>
              <w:rPr>
                <w:rFonts w:hint="eastAsia"/>
                <w:sz w:val="23"/>
                <w:szCs w:val="21"/>
              </w:rPr>
              <w:t xml:space="preserve">    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非营利组织管理</w:t>
            </w:r>
            <w:r>
              <w:rPr>
                <w:rFonts w:hint="eastAsia"/>
                <w:sz w:val="23"/>
                <w:szCs w:val="21"/>
              </w:rPr>
              <w:t xml:space="preserve">        </w:t>
            </w:r>
            <w:r>
              <w:rPr>
                <w:rFonts w:hint="eastAsia"/>
                <w:sz w:val="23"/>
                <w:szCs w:val="21"/>
              </w:rPr>
              <w:t>□公共</w:t>
            </w:r>
            <w:r>
              <w:rPr>
                <w:rFonts w:hint="eastAsia"/>
                <w:sz w:val="23"/>
              </w:rPr>
              <w:t>财政与税收管理</w:t>
            </w:r>
            <w:r>
              <w:rPr>
                <w:sz w:val="23"/>
                <w:szCs w:val="21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卫生政策与管理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公共安全与应急管理</w:t>
            </w:r>
            <w:r>
              <w:rPr>
                <w:rFonts w:hint="eastAsia"/>
                <w:sz w:val="23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区域发展与城市管理</w:t>
            </w:r>
            <w:r>
              <w:rPr>
                <w:rFonts w:hint="eastAsia"/>
                <w:sz w:val="23"/>
                <w:szCs w:val="21"/>
              </w:rPr>
              <w:t xml:space="preserve">      </w:t>
            </w:r>
            <w:r>
              <w:rPr>
                <w:rFonts w:hint="eastAsia"/>
                <w:sz w:val="23"/>
                <w:szCs w:val="21"/>
              </w:rPr>
              <w:t>□组织与</w:t>
            </w:r>
            <w:r>
              <w:rPr>
                <w:rFonts w:hint="eastAsia"/>
                <w:sz w:val="23"/>
              </w:rPr>
              <w:t>人力资源管理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社会保障</w:t>
            </w:r>
            <w:r>
              <w:rPr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管理科学与决策</w:t>
            </w:r>
            <w:r>
              <w:rPr>
                <w:rFonts w:hint="eastAsia"/>
                <w:sz w:val="23"/>
              </w:rPr>
              <w:t xml:space="preserve">  </w:t>
            </w:r>
          </w:p>
          <w:p w:rsidR="00581376" w:rsidRDefault="00581376" w:rsidP="002A1B9F">
            <w:pPr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□住房与城乡建设</w:t>
            </w:r>
            <w:r>
              <w:rPr>
                <w:rFonts w:hint="eastAsia"/>
                <w:sz w:val="23"/>
              </w:rPr>
              <w:t xml:space="preserve">    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土地利用与城乡发展</w:t>
            </w:r>
            <w:r>
              <w:rPr>
                <w:rFonts w:hint="eastAsia"/>
                <w:sz w:val="23"/>
              </w:rPr>
              <w:t xml:space="preserve">    </w:t>
            </w:r>
            <w:r>
              <w:rPr>
                <w:rFonts w:hint="eastAsia"/>
                <w:sz w:val="23"/>
                <w:szCs w:val="21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□教育政策与管理</w:t>
            </w:r>
            <w:r>
              <w:rPr>
                <w:rFonts w:hint="eastAsia"/>
                <w:sz w:val="23"/>
              </w:rPr>
              <w:t xml:space="preserve">      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rFonts w:hint="eastAsia"/>
                <w:sz w:val="23"/>
              </w:rPr>
              <w:t>电子政务</w:t>
            </w:r>
            <w:r>
              <w:rPr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</w:rPr>
              <w:t xml:space="preserve">  </w:t>
            </w:r>
            <w:r>
              <w:rPr>
                <w:rFonts w:hint="eastAsia"/>
                <w:sz w:val="23"/>
                <w:szCs w:val="21"/>
              </w:rPr>
              <w:t>□</w:t>
            </w:r>
            <w:r>
              <w:rPr>
                <w:sz w:val="23"/>
                <w:szCs w:val="21"/>
              </w:rPr>
              <w:t xml:space="preserve"> </w:t>
            </w:r>
            <w:r>
              <w:rPr>
                <w:rFonts w:hint="eastAsia"/>
                <w:sz w:val="23"/>
                <w:szCs w:val="21"/>
              </w:rPr>
              <w:t>其他</w:t>
            </w:r>
            <w:r>
              <w:rPr>
                <w:rFonts w:hint="eastAsia"/>
                <w:sz w:val="23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16"/>
              </w:rPr>
              <w:t>(</w:t>
            </w:r>
            <w:r>
              <w:rPr>
                <w:rFonts w:hint="eastAsia"/>
                <w:sz w:val="20"/>
                <w:szCs w:val="16"/>
              </w:rPr>
              <w:t>请填写</w:t>
            </w:r>
            <w:r>
              <w:rPr>
                <w:rFonts w:hint="eastAsia"/>
                <w:sz w:val="20"/>
                <w:szCs w:val="16"/>
              </w:rPr>
              <w:t>)</w:t>
            </w:r>
            <w:r>
              <w:rPr>
                <w:rFonts w:hint="eastAsia"/>
                <w:sz w:val="23"/>
                <w:szCs w:val="21"/>
              </w:rPr>
              <w:t xml:space="preserve">  </w:t>
            </w:r>
          </w:p>
        </w:tc>
      </w:tr>
      <w:tr w:rsidR="00581376" w:rsidTr="002A1B9F">
        <w:trPr>
          <w:trHeight w:val="477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3"/>
                <w:szCs w:val="21"/>
              </w:rPr>
            </w:pPr>
          </w:p>
        </w:tc>
        <w:tc>
          <w:tcPr>
            <w:tcW w:w="12798" w:type="dxa"/>
            <w:gridSpan w:val="8"/>
          </w:tcPr>
          <w:p w:rsidR="00581376" w:rsidRDefault="00581376" w:rsidP="002A1B9F">
            <w:pPr>
              <w:spacing w:line="400" w:lineRule="exact"/>
              <w:ind w:firstLineChars="1046" w:firstLine="3150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第二部分 案例正文  满分100 分</w:t>
            </w:r>
          </w:p>
        </w:tc>
      </w:tr>
      <w:tr w:rsidR="00581376" w:rsidTr="002A1B9F">
        <w:trPr>
          <w:trHeight w:val="612"/>
        </w:trPr>
        <w:tc>
          <w:tcPr>
            <w:tcW w:w="1602" w:type="dxa"/>
            <w:vAlign w:val="center"/>
          </w:tcPr>
          <w:p w:rsidR="00581376" w:rsidRDefault="00581376" w:rsidP="002A1B9F">
            <w:pPr>
              <w:ind w:left="1380" w:hangingChars="600" w:hanging="1380"/>
              <w:rPr>
                <w:sz w:val="23"/>
              </w:rPr>
            </w:pPr>
            <w:r>
              <w:rPr>
                <w:rFonts w:hint="eastAsia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028700" cy="594360"/>
                      <wp:effectExtent l="9525" t="13970" r="9525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1pt" to="75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"/>
                  </w:pict>
                </mc:Fallback>
              </mc:AlternateContent>
            </w:r>
            <w:r>
              <w:rPr>
                <w:rFonts w:hint="eastAsia"/>
                <w:sz w:val="23"/>
              </w:rPr>
              <w:t xml:space="preserve">    </w:t>
            </w:r>
            <w:r>
              <w:rPr>
                <w:rFonts w:hint="eastAsia"/>
                <w:sz w:val="23"/>
              </w:rPr>
              <w:t>评分等级</w:t>
            </w:r>
            <w:r>
              <w:rPr>
                <w:rFonts w:hint="eastAsia"/>
                <w:sz w:val="23"/>
              </w:rPr>
              <w:t xml:space="preserve">                    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评价内容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优秀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>
              <w:rPr>
                <w:sz w:val="23"/>
              </w:rPr>
              <w:t>10.0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X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9.0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748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评分</w:t>
            </w: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良好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>
              <w:rPr>
                <w:sz w:val="23"/>
              </w:rPr>
              <w:t>8.9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X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7.1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839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评分</w:t>
            </w:r>
          </w:p>
        </w:tc>
        <w:tc>
          <w:tcPr>
            <w:tcW w:w="252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合格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>
              <w:rPr>
                <w:sz w:val="23"/>
              </w:rPr>
              <w:t>7.0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X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6.0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90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评分</w:t>
            </w: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不合格</w:t>
            </w:r>
          </w:p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>
              <w:rPr>
                <w:sz w:val="23"/>
              </w:rPr>
              <w:t>5.9</w:t>
            </w:r>
            <w:r>
              <w:rPr>
                <w:rFonts w:hint="eastAsia"/>
                <w:sz w:val="23"/>
              </w:rPr>
              <w:t>≥</w:t>
            </w:r>
            <w:r>
              <w:rPr>
                <w:sz w:val="23"/>
              </w:rPr>
              <w:t>X</w:t>
            </w:r>
            <w:r>
              <w:rPr>
                <w:rFonts w:hint="eastAsia"/>
                <w:sz w:val="23"/>
              </w:rPr>
              <w:t>＞</w:t>
            </w:r>
            <w:r>
              <w:rPr>
                <w:sz w:val="23"/>
              </w:rPr>
              <w:t>0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72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评分</w:t>
            </w: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4"/>
              </w:rPr>
              <w:t>选题规范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/>
                <w:bCs/>
                <w:sz w:val="14"/>
              </w:rPr>
              <w:t>1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选题十分本土化，十分典型和具有代表性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选题比较本土化，比较典型和具有代表性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选题比较一般，不太具有典型性和代表性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选题不适宜，不典型，不具有代表性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296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摘要概括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摘要概括性十分好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摘要概括性较好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摘要概括性一般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摘要概括性差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文献研究</w:t>
            </w:r>
            <w:r>
              <w:rPr>
                <w:rFonts w:ascii="黑体" w:eastAsia="黑体"/>
                <w:bCs/>
                <w:sz w:val="28"/>
              </w:rPr>
              <w:t>x</w:t>
            </w:r>
            <w:r>
              <w:rPr>
                <w:rFonts w:ascii="黑体" w:eastAsia="黑体" w:hint="eastAsia"/>
                <w:bCs/>
                <w:sz w:val="28"/>
                <w:vertAlign w:val="subscript"/>
              </w:rPr>
              <w:t>3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广泛阅读有关文献，充分掌握国内、</w:t>
            </w:r>
            <w:proofErr w:type="gramStart"/>
            <w:r>
              <w:rPr>
                <w:rFonts w:hint="eastAsia"/>
                <w:sz w:val="23"/>
              </w:rPr>
              <w:t>外研究</w:t>
            </w:r>
            <w:proofErr w:type="gramEnd"/>
            <w:r>
              <w:rPr>
                <w:rFonts w:hint="eastAsia"/>
                <w:sz w:val="23"/>
              </w:rPr>
              <w:t>动态，资料翔实（含外文）、运用贴切、并有力支持选题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阅读了有关文献，较好地掌握了本案例选题前人研究工作，资料较翔实、运用贴切、综合分析能力较强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文献阅读量和掌握的资料能够满足案例需要，对前人的研究基本了解，且所运用的文献资料基本正确、能够进行综合分析。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文献阅读量及资料不能够满足案例需要，材料运用较差或综合分析能力差。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904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分析水平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38"/>
                <w:vertAlign w:val="subscript"/>
              </w:rPr>
              <w:t>4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sz w:val="23"/>
              </w:rPr>
              <w:t>问题</w:t>
            </w:r>
            <w:r>
              <w:rPr>
                <w:rFonts w:hint="eastAsia"/>
                <w:sz w:val="23"/>
              </w:rPr>
              <w:t>分析十分</w:t>
            </w:r>
            <w:r>
              <w:rPr>
                <w:sz w:val="23"/>
              </w:rPr>
              <w:t>透彻、严谨，背景、原因分析</w:t>
            </w:r>
            <w:r>
              <w:rPr>
                <w:rFonts w:hint="eastAsia"/>
                <w:sz w:val="23"/>
              </w:rPr>
              <w:t>非常</w:t>
            </w:r>
            <w:r>
              <w:rPr>
                <w:sz w:val="23"/>
              </w:rPr>
              <w:t>恰当</w:t>
            </w:r>
            <w:r>
              <w:rPr>
                <w:rFonts w:hint="eastAsia"/>
                <w:sz w:val="23"/>
              </w:rPr>
              <w:t>。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问题分析比较透彻、严谨。</w:t>
            </w:r>
            <w:r>
              <w:rPr>
                <w:sz w:val="23"/>
              </w:rPr>
              <w:t>背景、原因分析</w:t>
            </w:r>
            <w:r>
              <w:rPr>
                <w:rFonts w:hint="eastAsia"/>
                <w:sz w:val="23"/>
              </w:rPr>
              <w:t>比较</w:t>
            </w:r>
            <w:r>
              <w:rPr>
                <w:sz w:val="23"/>
              </w:rPr>
              <w:t>恰当</w:t>
            </w:r>
            <w:r>
              <w:rPr>
                <w:rFonts w:hint="eastAsia"/>
                <w:sz w:val="23"/>
              </w:rPr>
              <w:t>。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问题分析不透彻、不严谨。原因、背景较为肤浅。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问题分析肤浅和漏洞百出。原因、背景分析不恰当。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5"/>
                <w:szCs w:val="21"/>
              </w:rPr>
            </w:pPr>
            <w:r>
              <w:rPr>
                <w:rFonts w:hint="eastAsia"/>
                <w:sz w:val="25"/>
                <w:szCs w:val="21"/>
              </w:rPr>
              <w:t>写作</w:t>
            </w:r>
            <w:r>
              <w:rPr>
                <w:rFonts w:hint="eastAsia"/>
                <w:sz w:val="24"/>
              </w:rPr>
              <w:t>能力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5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概念准确、条理清晰、文笔流畅、写作非常规范。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概念准确、条理性好、文笔较好、写作比较规范。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写作能力尚可、文笔一般、写作基本规范。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写作能力较差，文笔不顺，写作很不规范。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rPr>
                <w:sz w:val="25"/>
                <w:szCs w:val="21"/>
              </w:rPr>
            </w:pPr>
            <w:r>
              <w:rPr>
                <w:rFonts w:hint="eastAsia"/>
                <w:sz w:val="25"/>
                <w:szCs w:val="21"/>
              </w:rPr>
              <w:t>解决方案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6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sz w:val="23"/>
              </w:rPr>
              <w:t>给出的解决方案</w:t>
            </w:r>
            <w:r>
              <w:rPr>
                <w:rFonts w:hint="eastAsia"/>
                <w:sz w:val="23"/>
              </w:rPr>
              <w:t>非常</w:t>
            </w:r>
            <w:r>
              <w:rPr>
                <w:sz w:val="23"/>
              </w:rPr>
              <w:t>具</w:t>
            </w:r>
            <w:r>
              <w:rPr>
                <w:rFonts w:hint="eastAsia"/>
                <w:sz w:val="23"/>
              </w:rPr>
              <w:t>有</w:t>
            </w:r>
            <w:r>
              <w:rPr>
                <w:sz w:val="23"/>
              </w:rPr>
              <w:t>可行性合理性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sz w:val="23"/>
              </w:rPr>
              <w:t>给出的解决方案</w:t>
            </w:r>
            <w:r>
              <w:rPr>
                <w:rFonts w:hint="eastAsia"/>
                <w:sz w:val="23"/>
              </w:rPr>
              <w:t>比较</w:t>
            </w:r>
            <w:r>
              <w:rPr>
                <w:sz w:val="23"/>
              </w:rPr>
              <w:t>具</w:t>
            </w:r>
            <w:r>
              <w:rPr>
                <w:rFonts w:hint="eastAsia"/>
                <w:sz w:val="23"/>
              </w:rPr>
              <w:t>有</w:t>
            </w:r>
            <w:r>
              <w:rPr>
                <w:sz w:val="23"/>
              </w:rPr>
              <w:t>可行性合理性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sz w:val="23"/>
              </w:rPr>
              <w:t>给出的解决方案</w:t>
            </w:r>
            <w:r>
              <w:rPr>
                <w:rFonts w:hint="eastAsia"/>
                <w:sz w:val="23"/>
              </w:rPr>
              <w:t>可行性和合理性一般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sz w:val="23"/>
              </w:rPr>
              <w:t>给出的解决方案</w:t>
            </w:r>
            <w:r>
              <w:rPr>
                <w:rFonts w:hint="eastAsia"/>
                <w:sz w:val="23"/>
              </w:rPr>
              <w:t>不</w:t>
            </w:r>
            <w:r>
              <w:rPr>
                <w:sz w:val="23"/>
              </w:rPr>
              <w:t>具</w:t>
            </w:r>
            <w:r>
              <w:rPr>
                <w:rFonts w:hint="eastAsia"/>
                <w:sz w:val="23"/>
              </w:rPr>
              <w:t>有</w:t>
            </w:r>
            <w:r>
              <w:rPr>
                <w:sz w:val="23"/>
              </w:rPr>
              <w:t>可行性合理性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5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时效性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7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案例时效性强，为近两年内案例。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案例时效性较强，为近两到四年内案例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案例时效性一般，为近四到六年内案例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案例时效性不强，为近六年以上案例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启发性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8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proofErr w:type="gramStart"/>
            <w:r>
              <w:rPr>
                <w:rFonts w:hint="eastAsia"/>
                <w:sz w:val="23"/>
              </w:rPr>
              <w:t>十分能</w:t>
            </w:r>
            <w:proofErr w:type="gramEnd"/>
            <w:r>
              <w:rPr>
                <w:rFonts w:hint="eastAsia"/>
                <w:sz w:val="23"/>
              </w:rPr>
              <w:t>引发读者大量思考，能从多维度进行分析。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较能启发读者思考，思考维度较为多样。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能启发读者思考，但思考方向比较局限。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启发意义不大，思考维度十分狭小。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vAlign w:val="center"/>
          </w:tcPr>
          <w:p w:rsidR="00581376" w:rsidRDefault="00581376" w:rsidP="002A1B9F">
            <w:pPr>
              <w:tabs>
                <w:tab w:val="left" w:pos="1584"/>
              </w:tabs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创新性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16"/>
              </w:rPr>
              <w:t>9</w:t>
            </w:r>
            <w:r>
              <w:rPr>
                <w:rFonts w:hint="eastAsia"/>
                <w:sz w:val="23"/>
                <w:szCs w:val="21"/>
              </w:rPr>
              <w:t xml:space="preserve"> </w:t>
            </w:r>
          </w:p>
        </w:tc>
        <w:tc>
          <w:tcPr>
            <w:tcW w:w="215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案例研究方法和过程具有创新性，具有独到结论。</w:t>
            </w:r>
          </w:p>
        </w:tc>
        <w:tc>
          <w:tcPr>
            <w:tcW w:w="748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案例研究方法和过程比较创新，结论较有独到性。</w:t>
            </w:r>
          </w:p>
        </w:tc>
        <w:tc>
          <w:tcPr>
            <w:tcW w:w="839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研究方法和过程创新性一般，结论普通。</w:t>
            </w:r>
          </w:p>
        </w:tc>
        <w:tc>
          <w:tcPr>
            <w:tcW w:w="900" w:type="dxa"/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研究方法、研究过程和研究结论不具有创新点。</w:t>
            </w:r>
          </w:p>
        </w:tc>
        <w:tc>
          <w:tcPr>
            <w:tcW w:w="720" w:type="dxa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581376" w:rsidRDefault="00581376" w:rsidP="002A1B9F">
            <w:pPr>
              <w:tabs>
                <w:tab w:val="left" w:pos="1584"/>
              </w:tabs>
              <w:ind w:firstLineChars="50" w:firstLine="125"/>
              <w:rPr>
                <w:sz w:val="25"/>
                <w:szCs w:val="21"/>
              </w:rPr>
            </w:pPr>
            <w:r>
              <w:rPr>
                <w:rFonts w:hint="eastAsia"/>
                <w:sz w:val="25"/>
                <w:szCs w:val="21"/>
              </w:rPr>
              <w:t>科学性</w:t>
            </w:r>
            <w:r>
              <w:rPr>
                <w:rFonts w:hint="eastAsia"/>
                <w:sz w:val="25"/>
                <w:szCs w:val="21"/>
              </w:rPr>
              <w:t xml:space="preserve"> </w:t>
            </w:r>
            <w:r>
              <w:rPr>
                <w:rFonts w:ascii="黑体" w:eastAsia="黑体"/>
                <w:bCs/>
                <w:sz w:val="36"/>
              </w:rPr>
              <w:t>x</w:t>
            </w:r>
            <w:r>
              <w:rPr>
                <w:rFonts w:ascii="黑体" w:eastAsia="黑体" w:hint="eastAsia"/>
                <w:bCs/>
                <w:sz w:val="34"/>
                <w:vertAlign w:val="subscript"/>
              </w:rPr>
              <w:t>10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熟练和恰当地使用管理工具协助研究，非常注重使用第一手数据、图表等资料。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比较熟练和恰当地使用管理工具协助研究，较注重第一手数据、图表的使用。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使用了一些简单的管理工具，主要使用二手数据和图表。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spacing w:line="400" w:lineRule="exact"/>
              <w:jc w:val="center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极少甚至不使用管理工具，缺乏数据和图表的使用。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81376" w:rsidTr="002A1B9F">
        <w:trPr>
          <w:trHeight w:val="611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81376" w:rsidRDefault="00581376" w:rsidP="002A1B9F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</w:tbl>
    <w:p w:rsidR="00EF5127" w:rsidRPr="00EF5127" w:rsidRDefault="00EF5127" w:rsidP="00EF5127">
      <w:pPr>
        <w:spacing w:line="360" w:lineRule="auto"/>
        <w:rPr>
          <w:rFonts w:ascii="宋体" w:hAnsi="宋体"/>
          <w:b/>
          <w:sz w:val="24"/>
        </w:rPr>
        <w:sectPr w:rsidR="00EF5127" w:rsidRPr="00EF5127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8525F6" w:rsidRPr="00581376" w:rsidRDefault="008525F6" w:rsidP="00EF5127"/>
    <w:sectPr w:rsidR="008525F6" w:rsidRPr="00581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4C" w:rsidRDefault="003C6A4C" w:rsidP="00581376">
      <w:r>
        <w:separator/>
      </w:r>
    </w:p>
  </w:endnote>
  <w:endnote w:type="continuationSeparator" w:id="0">
    <w:p w:rsidR="003C6A4C" w:rsidRDefault="003C6A4C" w:rsidP="005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4C" w:rsidRDefault="003C6A4C" w:rsidP="00581376">
      <w:r>
        <w:separator/>
      </w:r>
    </w:p>
  </w:footnote>
  <w:footnote w:type="continuationSeparator" w:id="0">
    <w:p w:rsidR="003C6A4C" w:rsidRDefault="003C6A4C" w:rsidP="0058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2"/>
    <w:rsid w:val="00206582"/>
    <w:rsid w:val="003C6A4C"/>
    <w:rsid w:val="00581376"/>
    <w:rsid w:val="008525F6"/>
    <w:rsid w:val="00C95178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3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2019-03-07T07:32:00Z</dcterms:created>
  <dcterms:modified xsi:type="dcterms:W3CDTF">2019-03-07T07:39:00Z</dcterms:modified>
</cp:coreProperties>
</file>